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E7" w:rsidRPr="00447852" w:rsidRDefault="001479E7" w:rsidP="001479E7">
      <w:pPr>
        <w:tabs>
          <w:tab w:val="center" w:pos="1414"/>
        </w:tabs>
        <w:jc w:val="both"/>
        <w:rPr>
          <w:i/>
          <w:color w:val="000000"/>
          <w:sz w:val="26"/>
          <w:szCs w:val="26"/>
        </w:rPr>
      </w:pPr>
      <w:r>
        <w:rPr>
          <w:b/>
          <w:color w:val="000000"/>
          <w:sz w:val="26"/>
          <w:szCs w:val="26"/>
        </w:rPr>
        <w:t xml:space="preserve">       </w:t>
      </w:r>
      <w:r w:rsidRPr="00447852">
        <w:rPr>
          <w:b/>
          <w:color w:val="000000"/>
          <w:sz w:val="26"/>
          <w:szCs w:val="26"/>
        </w:rPr>
        <w:t>ỦY BAN NHÂN DÂN</w:t>
      </w:r>
      <w:r w:rsidRPr="00447852">
        <w:rPr>
          <w:color w:val="000000"/>
          <w:sz w:val="26"/>
          <w:szCs w:val="26"/>
        </w:rPr>
        <w:tab/>
      </w:r>
      <w:r>
        <w:rPr>
          <w:color w:val="000000"/>
          <w:sz w:val="26"/>
          <w:szCs w:val="26"/>
        </w:rPr>
        <w:t xml:space="preserve"> </w:t>
      </w:r>
      <w:r w:rsidRPr="00447852">
        <w:rPr>
          <w:color w:val="000000"/>
          <w:sz w:val="26"/>
          <w:szCs w:val="26"/>
        </w:rPr>
        <w:t xml:space="preserve">    </w:t>
      </w:r>
      <w:r w:rsidRPr="00447852">
        <w:rPr>
          <w:b/>
          <w:color w:val="000000"/>
          <w:sz w:val="26"/>
          <w:szCs w:val="26"/>
        </w:rPr>
        <w:t xml:space="preserve">CỘNG HÒA XÃ HỘI CHỦ NGHĨA VIỆT </w:t>
      </w:r>
      <w:smartTag w:uri="urn:schemas-microsoft-com:office:smarttags" w:element="place">
        <w:smartTag w:uri="urn:schemas-microsoft-com:office:smarttags" w:element="country-region">
          <w:r w:rsidRPr="00447852">
            <w:rPr>
              <w:b/>
              <w:color w:val="000000"/>
              <w:sz w:val="26"/>
              <w:szCs w:val="26"/>
            </w:rPr>
            <w:t>NAM</w:t>
          </w:r>
        </w:smartTag>
      </w:smartTag>
      <w:r w:rsidRPr="00447852">
        <w:rPr>
          <w:i/>
          <w:color w:val="000000"/>
          <w:sz w:val="26"/>
          <w:szCs w:val="26"/>
        </w:rPr>
        <w:t xml:space="preserve">  </w:t>
      </w:r>
    </w:p>
    <w:p w:rsidR="001479E7" w:rsidRPr="00325092" w:rsidRDefault="001479E7" w:rsidP="001479E7">
      <w:pPr>
        <w:tabs>
          <w:tab w:val="left" w:pos="0"/>
          <w:tab w:val="center" w:pos="1414"/>
          <w:tab w:val="center" w:pos="4817"/>
        </w:tabs>
        <w:jc w:val="left"/>
        <w:rPr>
          <w:b/>
          <w:i/>
          <w:color w:val="000000"/>
          <w:sz w:val="26"/>
          <w:szCs w:val="26"/>
        </w:rPr>
      </w:pPr>
      <w:r>
        <w:rPr>
          <w:b/>
          <w:color w:val="000000"/>
          <w:sz w:val="26"/>
          <w:szCs w:val="26"/>
        </w:rPr>
        <w:t xml:space="preserve">          </w:t>
      </w:r>
      <w:r w:rsidRPr="00325092">
        <w:rPr>
          <w:b/>
          <w:color w:val="000000"/>
          <w:sz w:val="26"/>
          <w:szCs w:val="26"/>
        </w:rPr>
        <w:t>TỈNH TÂY NINH                                     Độc lập – Tự do – Hạnh phúc</w:t>
      </w:r>
    </w:p>
    <w:p w:rsidR="001479E7" w:rsidRDefault="001479E7" w:rsidP="001479E7">
      <w:pPr>
        <w:tabs>
          <w:tab w:val="center" w:pos="1414"/>
        </w:tabs>
        <w:spacing w:before="240"/>
        <w:rPr>
          <w:i/>
        </w:rPr>
      </w:pPr>
      <w:r w:rsidRPr="00447852">
        <w:rPr>
          <w:noProof/>
        </w:rPr>
        <w:pict>
          <v:line id="_x0000_s1027" style="position:absolute;left:0;text-align:left;z-index:251661312" from="252.75pt,2.95pt" to="419.4pt,2.95pt"/>
        </w:pict>
      </w:r>
      <w:r w:rsidRPr="00447852">
        <w:rPr>
          <w:noProof/>
        </w:rPr>
        <w:pict>
          <v:line id="_x0000_s1026" style="position:absolute;left:0;text-align:left;z-index:251660288" from="55.7pt,2.95pt" to="101.15pt,2.95pt"/>
        </w:pict>
      </w:r>
      <w:r w:rsidRPr="00447852">
        <w:t>Số: 67/2015/QĐ-UBND</w:t>
      </w:r>
      <w:r w:rsidRPr="00447852">
        <w:tab/>
        <w:t xml:space="preserve">                       </w:t>
      </w:r>
      <w:r w:rsidRPr="00447852">
        <w:rPr>
          <w:i/>
        </w:rPr>
        <w:t>Tây Ninh</w:t>
      </w:r>
      <w:r w:rsidRPr="00447852">
        <w:t xml:space="preserve">, </w:t>
      </w:r>
      <w:r w:rsidRPr="00447852">
        <w:rPr>
          <w:i/>
        </w:rPr>
        <w:t>ngày 31 tháng 12 năm 2015</w:t>
      </w:r>
    </w:p>
    <w:p w:rsidR="001479E7" w:rsidRPr="009B142B" w:rsidRDefault="001479E7" w:rsidP="001479E7">
      <w:pPr>
        <w:tabs>
          <w:tab w:val="center" w:pos="1414"/>
        </w:tabs>
        <w:spacing w:before="240"/>
        <w:rPr>
          <w:b/>
          <w:szCs w:val="28"/>
        </w:rPr>
      </w:pPr>
      <w:r w:rsidRPr="009B142B">
        <w:rPr>
          <w:b/>
          <w:szCs w:val="28"/>
        </w:rPr>
        <w:t>QUYẾT ĐỊNH</w:t>
      </w:r>
    </w:p>
    <w:p w:rsidR="001479E7" w:rsidRPr="00447852" w:rsidRDefault="001479E7" w:rsidP="001479E7">
      <w:pPr>
        <w:rPr>
          <w:b/>
          <w:color w:val="000000"/>
          <w:sz w:val="26"/>
          <w:szCs w:val="26"/>
        </w:rPr>
      </w:pPr>
      <w:r w:rsidRPr="00447852">
        <w:rPr>
          <w:b/>
          <w:color w:val="000000"/>
          <w:sz w:val="26"/>
          <w:szCs w:val="26"/>
        </w:rPr>
        <w:t>Về việc ban hành hệ số điều chỉnh giá đất</w:t>
      </w:r>
    </w:p>
    <w:p w:rsidR="001479E7" w:rsidRPr="00447852" w:rsidRDefault="001479E7" w:rsidP="001479E7">
      <w:pPr>
        <w:rPr>
          <w:b/>
          <w:color w:val="000000"/>
          <w:sz w:val="26"/>
          <w:szCs w:val="26"/>
        </w:rPr>
      </w:pPr>
      <w:r w:rsidRPr="00447852">
        <w:rPr>
          <w:b/>
          <w:color w:val="000000"/>
          <w:sz w:val="26"/>
          <w:szCs w:val="26"/>
        </w:rPr>
        <w:t>để tính giá đất cụ thể trên địa bàn tỉnh Tây Ninh</w:t>
      </w:r>
    </w:p>
    <w:p w:rsidR="001479E7" w:rsidRPr="00447852" w:rsidRDefault="001479E7" w:rsidP="001479E7">
      <w:pPr>
        <w:spacing w:before="360" w:after="360"/>
        <w:ind w:firstLine="720"/>
        <w:rPr>
          <w:b/>
          <w:color w:val="000000"/>
          <w:sz w:val="26"/>
          <w:szCs w:val="26"/>
        </w:rPr>
      </w:pPr>
      <w:r w:rsidRPr="00447852">
        <w:rPr>
          <w:b/>
          <w:noProof/>
          <w:color w:val="000000"/>
          <w:sz w:val="26"/>
          <w:szCs w:val="26"/>
        </w:rPr>
        <w:pict>
          <v:line id="_x0000_s1028" style="position:absolute;left:0;text-align:left;z-index:251662336" from="197.05pt,4.7pt" to="269pt,4.7pt"/>
        </w:pict>
      </w:r>
      <w:r w:rsidRPr="00447852">
        <w:rPr>
          <w:b/>
          <w:noProof/>
          <w:color w:val="000000"/>
          <w:sz w:val="26"/>
          <w:szCs w:val="26"/>
        </w:rPr>
        <w:t>ỦY BAN NHÂN DÂN TỈNH</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Luật Tổ chức Hội đồng Nhân dân và Ủy ban Nhân dân ngày 26 tháng 11 năm 2003;</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Luật Đất đai ngày 29 tháng 11 năm 2013;</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Nghị định số 43/2014/NĐ-CP ngày 15 tháng 5 năm 2014 của Chính phủ quy định chi tiết thi hành một số điều của Luật đất đai;</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Nghị định số 44/2014/NĐ-CP ngày 15 tháng 5 năm 2014 của Chính phủ quy định về giá đất;</w:t>
      </w:r>
    </w:p>
    <w:p w:rsidR="001479E7" w:rsidRPr="00447852" w:rsidRDefault="001479E7" w:rsidP="001479E7">
      <w:pPr>
        <w:pStyle w:val="BodyTextIndent"/>
        <w:tabs>
          <w:tab w:val="left" w:pos="8885"/>
        </w:tabs>
        <w:spacing w:before="80"/>
        <w:ind w:firstLine="720"/>
        <w:rPr>
          <w:color w:val="000000"/>
          <w:sz w:val="26"/>
          <w:szCs w:val="26"/>
        </w:rPr>
      </w:pPr>
      <w:r w:rsidRPr="00447852">
        <w:rPr>
          <w:color w:val="000000"/>
          <w:sz w:val="26"/>
          <w:szCs w:val="26"/>
        </w:rPr>
        <w:t>Căn cứ Nghị định số 45/2014/NĐ-CP ngày 15 tháng 5 năm 2014 của Chính phủ quy định về thu tiền sử dụng đất;</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Nghị định số 46/2014/NĐ-CP ngày 15 tháng 5 năm 2014 của Chính phủ quy định về thu tiền thuê đất, thuê mặt nước;</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Thông tư số 76/2014/TT-BTC ngày 16 tháng 6 năm 2014 của Bộ Tài chính hướng dẫn một số điều của Nghị định số 45/2014/NĐ-CP ngày 15 tháng 5 năm 2014 của Chính phủ quy định về thu tiền sử dụng đất;</w:t>
      </w:r>
    </w:p>
    <w:p w:rsidR="001479E7" w:rsidRPr="00447852" w:rsidRDefault="001479E7" w:rsidP="001479E7">
      <w:pPr>
        <w:pStyle w:val="BodyTextIndent"/>
        <w:spacing w:before="80"/>
        <w:ind w:firstLine="720"/>
        <w:rPr>
          <w:color w:val="000000"/>
          <w:sz w:val="26"/>
          <w:szCs w:val="26"/>
        </w:rPr>
      </w:pPr>
      <w:r w:rsidRPr="00447852">
        <w:rPr>
          <w:color w:val="000000"/>
          <w:sz w:val="26"/>
          <w:szCs w:val="26"/>
        </w:rPr>
        <w:t>Căn cứ Thông tư số 77/2014/TT-BTC ngày 16 tháng 6 năm 2014 của Bộ Tài chính hướng dẫn một số điều của Nghị định số 46/2014/NĐ-CP ngày 15 tháng 5 năm 2014 của Chính phủ quy định về thu tiền thuê đất, thuê mặt nước;</w:t>
      </w:r>
    </w:p>
    <w:p w:rsidR="001479E7" w:rsidRPr="00447852" w:rsidRDefault="001479E7" w:rsidP="001479E7">
      <w:pPr>
        <w:spacing w:before="120"/>
        <w:ind w:firstLine="720"/>
        <w:jc w:val="both"/>
        <w:rPr>
          <w:color w:val="000000"/>
          <w:sz w:val="26"/>
          <w:szCs w:val="26"/>
        </w:rPr>
      </w:pPr>
      <w:r w:rsidRPr="00447852">
        <w:rPr>
          <w:color w:val="000000"/>
          <w:sz w:val="26"/>
          <w:szCs w:val="26"/>
        </w:rPr>
        <w:t>Theo đề nghị của Giám đốc Sở Tài chính tại Tờ trình số: 242/TTr-STC ngày 31     tháng 12 năm 2015,</w:t>
      </w:r>
    </w:p>
    <w:p w:rsidR="001479E7" w:rsidRPr="00447852" w:rsidRDefault="001479E7" w:rsidP="001479E7">
      <w:pPr>
        <w:spacing w:before="240"/>
        <w:ind w:firstLine="720"/>
        <w:rPr>
          <w:b/>
          <w:color w:val="000000"/>
          <w:sz w:val="26"/>
          <w:szCs w:val="26"/>
        </w:rPr>
      </w:pPr>
      <w:r w:rsidRPr="00447852">
        <w:rPr>
          <w:b/>
          <w:color w:val="000000"/>
          <w:sz w:val="26"/>
          <w:szCs w:val="26"/>
        </w:rPr>
        <w:t>QUYẾT ĐỊNH:</w:t>
      </w:r>
    </w:p>
    <w:p w:rsidR="001479E7" w:rsidRPr="00447852" w:rsidRDefault="001479E7" w:rsidP="001479E7">
      <w:pPr>
        <w:spacing w:before="240"/>
        <w:ind w:firstLine="720"/>
        <w:jc w:val="both"/>
        <w:rPr>
          <w:b/>
          <w:color w:val="000000"/>
          <w:sz w:val="26"/>
          <w:szCs w:val="26"/>
        </w:rPr>
      </w:pPr>
      <w:r w:rsidRPr="00447852">
        <w:rPr>
          <w:b/>
          <w:color w:val="000000"/>
          <w:sz w:val="26"/>
          <w:szCs w:val="26"/>
        </w:rPr>
        <w:t>Điều 1. Phạm vi điều chỉnh và đối tượng áp dụng</w:t>
      </w:r>
    </w:p>
    <w:p w:rsidR="001479E7" w:rsidRPr="00447852" w:rsidRDefault="001479E7" w:rsidP="001479E7">
      <w:pPr>
        <w:spacing w:before="120"/>
        <w:ind w:firstLine="720"/>
        <w:jc w:val="both"/>
        <w:rPr>
          <w:color w:val="000000"/>
          <w:sz w:val="26"/>
          <w:szCs w:val="26"/>
        </w:rPr>
      </w:pPr>
      <w:r w:rsidRPr="00447852">
        <w:rPr>
          <w:color w:val="000000"/>
          <w:sz w:val="26"/>
          <w:szCs w:val="26"/>
        </w:rPr>
        <w:t>1. Phạm vi điều chỉnh</w:t>
      </w:r>
    </w:p>
    <w:p w:rsidR="001479E7" w:rsidRPr="00447852" w:rsidRDefault="001479E7" w:rsidP="001479E7">
      <w:pPr>
        <w:spacing w:before="120"/>
        <w:ind w:firstLine="720"/>
        <w:jc w:val="both"/>
        <w:rPr>
          <w:color w:val="000000"/>
          <w:sz w:val="26"/>
          <w:szCs w:val="26"/>
        </w:rPr>
      </w:pPr>
      <w:r w:rsidRPr="00447852">
        <w:rPr>
          <w:color w:val="000000"/>
          <w:sz w:val="26"/>
          <w:szCs w:val="26"/>
        </w:rPr>
        <w:t>Quyết định này quy định hệ số điều chỉnh giá đất để để tính giá đất cụ thể trên địa bàn tỉnh Tây Ninh.</w:t>
      </w:r>
    </w:p>
    <w:p w:rsidR="001479E7" w:rsidRPr="00447852" w:rsidRDefault="001479E7" w:rsidP="001479E7">
      <w:pPr>
        <w:spacing w:before="120"/>
        <w:ind w:firstLine="720"/>
        <w:jc w:val="both"/>
        <w:rPr>
          <w:color w:val="000000"/>
          <w:sz w:val="26"/>
          <w:szCs w:val="26"/>
        </w:rPr>
      </w:pPr>
      <w:r w:rsidRPr="00447852">
        <w:rPr>
          <w:color w:val="000000"/>
          <w:sz w:val="26"/>
          <w:szCs w:val="26"/>
        </w:rPr>
        <w:t>2. Đối tượng áp dụng</w:t>
      </w:r>
    </w:p>
    <w:p w:rsidR="001479E7" w:rsidRPr="00447852" w:rsidRDefault="001479E7" w:rsidP="001479E7">
      <w:pPr>
        <w:spacing w:before="120"/>
        <w:ind w:firstLine="720"/>
        <w:jc w:val="both"/>
        <w:rPr>
          <w:color w:val="000000"/>
          <w:sz w:val="26"/>
          <w:szCs w:val="26"/>
        </w:rPr>
      </w:pPr>
      <w:r w:rsidRPr="00447852">
        <w:rPr>
          <w:color w:val="000000"/>
          <w:sz w:val="26"/>
          <w:szCs w:val="26"/>
        </w:rPr>
        <w:t>Hệ số điều chỉnh giá đất quy định tại Quyết định này được áp dụng để:</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 a) Xác định tiền sử dụng đất, tiền thuê đất đối với trường hợp diện tích tính thu tiền sử dụng đất, tiền thuê đất của thửa đất hoặc khu đất có giá trị (tính theo giá đất trong Bảng giá đất) dưới 20 tỷ đồng gồm các trường hợp như sau:</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shd w:val="clear" w:color="auto" w:fill="FFFFFF"/>
        </w:rPr>
        <w:t>- Tổ chức</w:t>
      </w:r>
      <w:r w:rsidRPr="00447852">
        <w:rPr>
          <w:color w:val="000000"/>
          <w:sz w:val="26"/>
          <w:szCs w:val="26"/>
        </w:rPr>
        <w:t xml:space="preserve"> được Nhà nước giao đất có thu tiền sử dụng đất không thông qua hình thức đấu giá quyền sử dụng đất, công nhận quyền sử dụng </w:t>
      </w:r>
      <w:r w:rsidRPr="00447852">
        <w:rPr>
          <w:color w:val="000000"/>
          <w:sz w:val="26"/>
          <w:szCs w:val="26"/>
          <w:shd w:val="clear" w:color="auto" w:fill="FFFFFF"/>
        </w:rPr>
        <w:t>đất</w:t>
      </w:r>
      <w:r w:rsidRPr="00447852">
        <w:rPr>
          <w:color w:val="000000"/>
          <w:sz w:val="26"/>
          <w:szCs w:val="26"/>
        </w:rPr>
        <w:t xml:space="preserve">, cho phép chuyển mục đích sử dụng </w:t>
      </w:r>
      <w:r w:rsidRPr="00447852">
        <w:rPr>
          <w:color w:val="000000"/>
          <w:sz w:val="26"/>
          <w:szCs w:val="26"/>
          <w:shd w:val="clear" w:color="auto" w:fill="FFFFFF"/>
        </w:rPr>
        <w:t>đất</w:t>
      </w:r>
      <w:r w:rsidRPr="00447852">
        <w:rPr>
          <w:color w:val="000000"/>
          <w:sz w:val="26"/>
          <w:szCs w:val="26"/>
        </w:rPr>
        <w:t>;</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lastRenderedPageBreak/>
        <w:t>- Hộ gia đình, cá nhân được Nhà nước giao đất không thông qua hình thức đấu giá quyền sử dụng đất;</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Hộ gia đình, cá nhân được Nhà nước công nhận quyền sử dụng đất, cho phép chuyển mục đích sử dụng đất đối với diện tích đất ở vượt hạn mức.</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Xác định đơn giá thuê đất trả tiền thuê đất hàng năm cho chu kỳ ổn định đầu tiên;</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 Xác định đơn giá thuê đất trả tiền một lần cho cả thời gian thuê không thông qua hình thức đấu giá; </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 Xác định đơn giá thuê </w:t>
      </w:r>
      <w:r w:rsidRPr="00447852">
        <w:rPr>
          <w:color w:val="000000"/>
          <w:sz w:val="26"/>
          <w:szCs w:val="26"/>
          <w:shd w:val="clear" w:color="auto" w:fill="FFFFFF"/>
        </w:rPr>
        <w:t>đất</w:t>
      </w:r>
      <w:r w:rsidRPr="00447852">
        <w:rPr>
          <w:color w:val="000000"/>
          <w:sz w:val="26"/>
          <w:szCs w:val="26"/>
        </w:rPr>
        <w:t xml:space="preserve"> khi chuyển từ thuê đất trả tiền thuê đất hàng năm sang thuê đất trả tiền thuê đất một lần cho cả thời gian thuê theo quy định tại Khoản 2 Điều 172 Luật Đất đai; </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 Xác định đơn giá thuê đất khi nhận chuyển nhượng tài sản gắn liền </w:t>
      </w:r>
      <w:r w:rsidRPr="00447852">
        <w:rPr>
          <w:color w:val="000000"/>
          <w:sz w:val="26"/>
          <w:szCs w:val="26"/>
          <w:shd w:val="clear" w:color="auto" w:fill="FFFFFF"/>
        </w:rPr>
        <w:t>với</w:t>
      </w:r>
      <w:r w:rsidRPr="00447852">
        <w:rPr>
          <w:color w:val="000000"/>
          <w:sz w:val="26"/>
          <w:szCs w:val="26"/>
        </w:rPr>
        <w:t xml:space="preserve"> </w:t>
      </w:r>
      <w:r w:rsidRPr="00447852">
        <w:rPr>
          <w:color w:val="000000"/>
          <w:sz w:val="26"/>
          <w:szCs w:val="26"/>
          <w:shd w:val="clear" w:color="auto" w:fill="FFFFFF"/>
        </w:rPr>
        <w:t>đất</w:t>
      </w:r>
      <w:r w:rsidRPr="00447852">
        <w:rPr>
          <w:color w:val="000000"/>
          <w:sz w:val="26"/>
          <w:szCs w:val="26"/>
        </w:rPr>
        <w:t xml:space="preserve"> thuê theo quy định tại Khoản 3 Điều 189 Luật Đất đai; </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 Xác định đơn giá thuê </w:t>
      </w:r>
      <w:r w:rsidRPr="00447852">
        <w:rPr>
          <w:color w:val="000000"/>
          <w:sz w:val="26"/>
          <w:szCs w:val="26"/>
          <w:shd w:val="clear" w:color="auto" w:fill="FFFFFF"/>
        </w:rPr>
        <w:t>đất</w:t>
      </w:r>
      <w:r w:rsidRPr="00447852">
        <w:rPr>
          <w:color w:val="000000"/>
          <w:sz w:val="26"/>
          <w:szCs w:val="26"/>
        </w:rPr>
        <w:t xml:space="preserve"> trả tiền thuê đất hàng năm và đơn giá thuê đất trả tiền thuê đất một lần cho cả thời gian thuê khi cổ phần hóa doanh nghiệp Nhà nước. </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Xác định giá nhận chuyển nhượng quyền sử dụng đất để trừ vào tiền sử dụng đất, tiền thuê đất.</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b) Xác định đơn giá thuê đất trả tiền thuê đất hàng năm khi điều chỉnh lại đơn giá thuê đất cho chu kỳ ổn định tiếp theo.</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c) Xác định giá khởi điểm trong đấu giá quyền sử dụng đất để cho thuê theo hình thức thuê đất trả tiền thuê đất hàng năm.</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d) Các trường hợp xác định tiền sử dụng đất, tiền thuê đất chưa quy định tại Điều này thì thực hiện xác định theo quy định của pháp luật hiện hành.</w:t>
      </w:r>
    </w:p>
    <w:p w:rsidR="001479E7" w:rsidRPr="00447852" w:rsidRDefault="001479E7" w:rsidP="001479E7">
      <w:pPr>
        <w:spacing w:before="120"/>
        <w:ind w:firstLine="720"/>
        <w:jc w:val="both"/>
        <w:rPr>
          <w:color w:val="000000"/>
          <w:sz w:val="26"/>
          <w:szCs w:val="26"/>
        </w:rPr>
      </w:pPr>
      <w:r w:rsidRPr="00447852">
        <w:rPr>
          <w:b/>
          <w:color w:val="000000"/>
          <w:sz w:val="26"/>
          <w:szCs w:val="26"/>
        </w:rPr>
        <w:t>Điều 2</w:t>
      </w:r>
      <w:r w:rsidRPr="00447852">
        <w:rPr>
          <w:color w:val="000000"/>
          <w:sz w:val="26"/>
          <w:szCs w:val="26"/>
        </w:rPr>
        <w:t xml:space="preserve">. </w:t>
      </w:r>
      <w:r w:rsidRPr="00447852">
        <w:rPr>
          <w:b/>
          <w:color w:val="000000"/>
          <w:sz w:val="26"/>
          <w:szCs w:val="26"/>
        </w:rPr>
        <w:t>Hệ số điều chỉnh giá đất</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 xml:space="preserve">Hệ số điều chỉnh giá đất làm căn cứ để thực hiện việc xác định tiền sử dụng đất, tiền thuê đất đối với các trường hợp quy định tại Điều 1 Quyết định này như sau: </w:t>
      </w:r>
    </w:p>
    <w:p w:rsidR="001479E7" w:rsidRPr="00447852" w:rsidRDefault="001479E7" w:rsidP="001479E7">
      <w:pPr>
        <w:tabs>
          <w:tab w:val="right" w:leader="hyphen" w:pos="9360"/>
        </w:tabs>
        <w:spacing w:before="120"/>
        <w:ind w:firstLine="720"/>
        <w:jc w:val="both"/>
        <w:rPr>
          <w:b/>
          <w:color w:val="000000"/>
          <w:sz w:val="26"/>
          <w:szCs w:val="26"/>
        </w:rPr>
      </w:pPr>
      <w:r w:rsidRPr="00447852">
        <w:rPr>
          <w:color w:val="000000"/>
          <w:sz w:val="26"/>
          <w:szCs w:val="26"/>
        </w:rPr>
        <w:t>1. Khu vực nông thôn</w:t>
      </w:r>
    </w:p>
    <w:p w:rsidR="001479E7" w:rsidRPr="00447852" w:rsidRDefault="001479E7" w:rsidP="001479E7">
      <w:pPr>
        <w:tabs>
          <w:tab w:val="right" w:leader="hyphen" w:pos="9360"/>
        </w:tabs>
        <w:spacing w:before="120"/>
        <w:ind w:firstLine="720"/>
        <w:jc w:val="both"/>
        <w:rPr>
          <w:color w:val="000000"/>
          <w:sz w:val="26"/>
          <w:szCs w:val="26"/>
        </w:rPr>
      </w:pPr>
      <w:r w:rsidRPr="00447852">
        <w:rPr>
          <w:color w:val="000000"/>
          <w:sz w:val="26"/>
          <w:szCs w:val="26"/>
        </w:rPr>
        <w:t xml:space="preserve">a) Các xã thuộc thành phố và các xã thuộc huyện trừ các xã thuộc vùng khó khăn và xã Hiệp Tân, xã An Tịnh: Hệ số điều chỉnh giá đất bằng 1,2 lần giá đất do Ủy ban Nhân dân tỉnh quy định.                                      </w:t>
      </w:r>
    </w:p>
    <w:p w:rsidR="001479E7" w:rsidRPr="00447852" w:rsidRDefault="001479E7" w:rsidP="001479E7">
      <w:pPr>
        <w:spacing w:before="120"/>
        <w:ind w:firstLine="720"/>
        <w:jc w:val="both"/>
        <w:rPr>
          <w:color w:val="000000"/>
          <w:sz w:val="26"/>
          <w:szCs w:val="26"/>
        </w:rPr>
      </w:pPr>
      <w:r w:rsidRPr="00447852">
        <w:rPr>
          <w:color w:val="000000"/>
          <w:sz w:val="26"/>
          <w:szCs w:val="26"/>
        </w:rPr>
        <w:t>b) Xã Hiệp Tân, huyện Hòa Thành và xã An Tịnh huyện Trảng Bàng: Hệ số điều chỉnh giá đất bằng 1,25 lần giá đất do Ủy ban Nhân dân tỉnh quy định.</w:t>
      </w:r>
    </w:p>
    <w:p w:rsidR="001479E7" w:rsidRPr="00447852" w:rsidRDefault="001479E7" w:rsidP="001479E7">
      <w:pPr>
        <w:spacing w:before="120"/>
        <w:ind w:firstLine="720"/>
        <w:jc w:val="both"/>
        <w:rPr>
          <w:color w:val="000000"/>
          <w:sz w:val="26"/>
          <w:szCs w:val="26"/>
        </w:rPr>
      </w:pPr>
      <w:r w:rsidRPr="00447852">
        <w:rPr>
          <w:color w:val="000000"/>
          <w:sz w:val="26"/>
          <w:szCs w:val="26"/>
        </w:rPr>
        <w:t>2. Khu vực đô thị</w:t>
      </w:r>
    </w:p>
    <w:p w:rsidR="001479E7" w:rsidRPr="00447852" w:rsidRDefault="001479E7" w:rsidP="001479E7">
      <w:pPr>
        <w:spacing w:before="120"/>
        <w:ind w:firstLine="720"/>
        <w:jc w:val="both"/>
        <w:rPr>
          <w:color w:val="000000"/>
          <w:sz w:val="26"/>
          <w:szCs w:val="26"/>
        </w:rPr>
      </w:pPr>
      <w:r w:rsidRPr="00447852">
        <w:rPr>
          <w:color w:val="000000"/>
          <w:sz w:val="26"/>
          <w:szCs w:val="26"/>
        </w:rPr>
        <w:t>a) Thị trấn các huyện và phường Ninh Thạnh, phường Ninh Sơn: Hệ số điều chỉnh giá đất bằng 1,25 lần giá đất do Ủy ban Nhân dân tỉnh quy định.</w:t>
      </w:r>
    </w:p>
    <w:p w:rsidR="001479E7" w:rsidRPr="00447852" w:rsidRDefault="001479E7" w:rsidP="001479E7">
      <w:pPr>
        <w:spacing w:before="120"/>
        <w:ind w:firstLine="720"/>
        <w:jc w:val="both"/>
        <w:rPr>
          <w:color w:val="000000"/>
          <w:sz w:val="26"/>
          <w:szCs w:val="26"/>
        </w:rPr>
      </w:pPr>
      <w:r w:rsidRPr="00447852">
        <w:rPr>
          <w:color w:val="000000"/>
          <w:sz w:val="26"/>
          <w:szCs w:val="26"/>
        </w:rPr>
        <w:t>b)  Các phường 1, 2, 3, IV và phường Hiệp Ninh: Hệ số điều chỉnh giá đất bằng 1,3 lần giá đất do Ủy ban Nhân dân tỉnh quy định.</w:t>
      </w:r>
    </w:p>
    <w:p w:rsidR="001479E7" w:rsidRPr="00447852" w:rsidRDefault="001479E7" w:rsidP="001479E7">
      <w:pPr>
        <w:spacing w:before="120"/>
        <w:ind w:firstLine="720"/>
        <w:jc w:val="both"/>
        <w:rPr>
          <w:color w:val="000000"/>
          <w:sz w:val="26"/>
          <w:szCs w:val="26"/>
        </w:rPr>
      </w:pPr>
      <w:r w:rsidRPr="00447852">
        <w:rPr>
          <w:color w:val="000000"/>
          <w:sz w:val="26"/>
          <w:szCs w:val="26"/>
        </w:rPr>
        <w:t xml:space="preserve">3. Khu vực các xã thuộc vùng khó khăn </w:t>
      </w:r>
    </w:p>
    <w:p w:rsidR="001479E7" w:rsidRPr="00447852" w:rsidRDefault="001479E7" w:rsidP="001479E7">
      <w:pPr>
        <w:spacing w:before="120"/>
        <w:ind w:firstLine="720"/>
        <w:jc w:val="both"/>
        <w:rPr>
          <w:color w:val="000000"/>
          <w:sz w:val="26"/>
          <w:szCs w:val="26"/>
        </w:rPr>
      </w:pPr>
      <w:r w:rsidRPr="00447852">
        <w:rPr>
          <w:color w:val="000000"/>
          <w:sz w:val="26"/>
          <w:szCs w:val="26"/>
        </w:rPr>
        <w:t>Hệ số điều chỉnh giá đất bằng 1,1 lần giá đất do Ủy ban Nhân dân tỉnh quy định.</w:t>
      </w:r>
    </w:p>
    <w:p w:rsidR="001479E7" w:rsidRPr="00447852" w:rsidRDefault="001479E7" w:rsidP="001479E7">
      <w:pPr>
        <w:pStyle w:val="NormalWeb"/>
        <w:spacing w:before="120" w:beforeAutospacing="0" w:after="0" w:afterAutospacing="0"/>
        <w:ind w:firstLine="720"/>
        <w:jc w:val="both"/>
        <w:rPr>
          <w:color w:val="000000"/>
          <w:sz w:val="26"/>
          <w:szCs w:val="26"/>
        </w:rPr>
      </w:pPr>
      <w:r w:rsidRPr="00447852">
        <w:rPr>
          <w:color w:val="000000"/>
          <w:sz w:val="26"/>
          <w:szCs w:val="26"/>
        </w:rPr>
        <w:t>4. Hệ số điều chỉnh giá đất được ban hành chung cho tất cả các loại đất.</w:t>
      </w:r>
    </w:p>
    <w:p w:rsidR="001479E7" w:rsidRPr="00447852" w:rsidRDefault="001479E7" w:rsidP="001479E7">
      <w:pPr>
        <w:pStyle w:val="BodyTextIndent"/>
        <w:spacing w:before="120"/>
        <w:ind w:firstLine="720"/>
        <w:rPr>
          <w:b/>
          <w:color w:val="000000"/>
          <w:sz w:val="26"/>
          <w:szCs w:val="26"/>
        </w:rPr>
      </w:pPr>
      <w:r w:rsidRPr="00447852">
        <w:rPr>
          <w:b/>
          <w:color w:val="000000"/>
          <w:sz w:val="26"/>
          <w:szCs w:val="26"/>
        </w:rPr>
        <w:t>Điều 3. Tổ chức thực hiện</w:t>
      </w:r>
    </w:p>
    <w:p w:rsidR="001479E7" w:rsidRPr="00447852" w:rsidRDefault="001479E7" w:rsidP="001479E7">
      <w:pPr>
        <w:pStyle w:val="BodyTextIndent"/>
        <w:spacing w:before="120"/>
        <w:ind w:firstLine="720"/>
        <w:rPr>
          <w:color w:val="000000"/>
          <w:sz w:val="26"/>
          <w:szCs w:val="26"/>
        </w:rPr>
      </w:pPr>
      <w:r w:rsidRPr="00447852">
        <w:rPr>
          <w:color w:val="000000"/>
          <w:sz w:val="26"/>
          <w:szCs w:val="26"/>
        </w:rPr>
        <w:lastRenderedPageBreak/>
        <w:t>Căn cứ quy định tại Điều 1, Điều 2 Quyết định này và các quy định của pháp luật liên quan, các Sở: Tài chính, Tài nguyên và Môi trường, Cục thuế và Ủy ban Nhân dân các huyện, thành phố có trách nhiệm:</w:t>
      </w:r>
    </w:p>
    <w:p w:rsidR="001479E7" w:rsidRPr="00447852" w:rsidRDefault="001479E7" w:rsidP="001479E7">
      <w:pPr>
        <w:pStyle w:val="BodyTextIndent"/>
        <w:spacing w:before="120"/>
        <w:ind w:firstLine="720"/>
        <w:rPr>
          <w:color w:val="000000"/>
          <w:sz w:val="26"/>
          <w:szCs w:val="26"/>
        </w:rPr>
      </w:pPr>
      <w:r w:rsidRPr="00447852">
        <w:rPr>
          <w:color w:val="000000"/>
          <w:sz w:val="26"/>
          <w:szCs w:val="26"/>
        </w:rPr>
        <w:t xml:space="preserve">1. Xác định và thu nộp tiền sử dụng đất, tiền thuê đất đúng quy định. </w:t>
      </w:r>
    </w:p>
    <w:p w:rsidR="001479E7" w:rsidRPr="00447852" w:rsidRDefault="001479E7" w:rsidP="001479E7">
      <w:pPr>
        <w:pStyle w:val="BodyTextIndent"/>
        <w:spacing w:before="120"/>
        <w:ind w:firstLine="720"/>
        <w:rPr>
          <w:color w:val="000000"/>
          <w:sz w:val="26"/>
          <w:szCs w:val="26"/>
        </w:rPr>
      </w:pPr>
      <w:r w:rsidRPr="00447852">
        <w:rPr>
          <w:color w:val="000000"/>
          <w:sz w:val="26"/>
          <w:szCs w:val="26"/>
        </w:rPr>
        <w:t>2. Kiểm tra và xử lý theo thẩm quyền đối với các trường hợp sai phạm hoặc các trường hợp khiếu nại tố cáo có liên quan đến việc xác định và thu nộp tiền sử dụng đất, tiền thuê đất.</w:t>
      </w:r>
    </w:p>
    <w:p w:rsidR="001479E7" w:rsidRPr="00447852" w:rsidRDefault="001479E7" w:rsidP="001479E7">
      <w:pPr>
        <w:pStyle w:val="BodyTextIndent"/>
        <w:spacing w:before="120"/>
        <w:ind w:firstLine="720"/>
        <w:rPr>
          <w:color w:val="000000"/>
          <w:sz w:val="26"/>
          <w:szCs w:val="26"/>
        </w:rPr>
      </w:pPr>
      <w:r w:rsidRPr="00447852">
        <w:rPr>
          <w:b/>
          <w:color w:val="000000"/>
          <w:sz w:val="26"/>
          <w:szCs w:val="26"/>
        </w:rPr>
        <w:t>Điều 4</w:t>
      </w:r>
      <w:r w:rsidRPr="00447852">
        <w:rPr>
          <w:color w:val="000000"/>
          <w:sz w:val="26"/>
          <w:szCs w:val="26"/>
        </w:rPr>
        <w:t xml:space="preserve">. </w:t>
      </w:r>
      <w:r w:rsidRPr="00447852">
        <w:rPr>
          <w:b/>
          <w:color w:val="000000"/>
          <w:sz w:val="26"/>
          <w:szCs w:val="26"/>
        </w:rPr>
        <w:t>Hiệu lực thi hành</w:t>
      </w:r>
      <w:r w:rsidRPr="00447852">
        <w:rPr>
          <w:color w:val="000000"/>
          <w:sz w:val="26"/>
          <w:szCs w:val="26"/>
        </w:rPr>
        <w:t xml:space="preserve"> </w:t>
      </w:r>
    </w:p>
    <w:p w:rsidR="001479E7" w:rsidRPr="00447852" w:rsidRDefault="001479E7" w:rsidP="001479E7">
      <w:pPr>
        <w:pStyle w:val="BodyTextIndent"/>
        <w:spacing w:before="120"/>
        <w:ind w:firstLine="720"/>
        <w:rPr>
          <w:color w:val="000000"/>
          <w:sz w:val="26"/>
          <w:szCs w:val="26"/>
        </w:rPr>
      </w:pPr>
      <w:r w:rsidRPr="00447852">
        <w:rPr>
          <w:color w:val="000000"/>
          <w:sz w:val="26"/>
          <w:szCs w:val="26"/>
        </w:rPr>
        <w:t>Quyết định này có hiệu lực thi hành sau mười (10) ngày, kể từ ngày ký và thay thế Quyết đinh số 77/2014/QĐ-UBND ngày 29 tháng 12 năm 2014 của Ủy ban Nhân dân tỉnh Tây Ninh về việc ban hành hệ số điều chỉnh giá đất để tính giá đất cụ thể trên địa bàn tỉnh Tây Ninh.</w:t>
      </w:r>
    </w:p>
    <w:p w:rsidR="001479E7" w:rsidRPr="00447852" w:rsidRDefault="001479E7" w:rsidP="001479E7">
      <w:pPr>
        <w:pStyle w:val="BodyTextIndent"/>
        <w:spacing w:before="120"/>
        <w:ind w:firstLine="720"/>
        <w:rPr>
          <w:b/>
          <w:color w:val="000000"/>
          <w:sz w:val="26"/>
          <w:szCs w:val="26"/>
        </w:rPr>
      </w:pPr>
      <w:r w:rsidRPr="00447852">
        <w:rPr>
          <w:b/>
          <w:color w:val="000000"/>
          <w:sz w:val="26"/>
          <w:szCs w:val="26"/>
        </w:rPr>
        <w:t>Điều 5. Điều khoản thi hành</w:t>
      </w:r>
    </w:p>
    <w:p w:rsidR="001479E7" w:rsidRDefault="001479E7" w:rsidP="001479E7">
      <w:pPr>
        <w:pStyle w:val="BodyTextIndent"/>
        <w:spacing w:before="120"/>
        <w:ind w:firstLine="720"/>
        <w:rPr>
          <w:color w:val="000000"/>
          <w:sz w:val="26"/>
          <w:szCs w:val="26"/>
        </w:rPr>
      </w:pPr>
      <w:r w:rsidRPr="00447852">
        <w:rPr>
          <w:color w:val="000000"/>
          <w:sz w:val="26"/>
          <w:szCs w:val="26"/>
        </w:rPr>
        <w:t xml:space="preserve">Chánh Văn phòng Ủy ban Nhân dân tỉnh, Giám đốc các Sở: Tài chính, Tài nguyên và Môi trường, Cục thuế, Chủ tịch Ủy ban Nhân dân các huyện, thành phố, Thủ trưởng các cơ quan, đơn vị, tổ chức, cá nhân có liên quan chịu trách nhiệm thi hành Quyết định này./.    </w:t>
      </w:r>
    </w:p>
    <w:p w:rsidR="001479E7" w:rsidRPr="00447852" w:rsidRDefault="001479E7" w:rsidP="001479E7">
      <w:pPr>
        <w:pStyle w:val="BodyTextIndent"/>
        <w:spacing w:before="120"/>
        <w:ind w:firstLine="720"/>
        <w:rPr>
          <w:color w:val="000000"/>
          <w:sz w:val="26"/>
          <w:szCs w:val="26"/>
        </w:rPr>
      </w:pPr>
    </w:p>
    <w:p w:rsidR="001479E7" w:rsidRPr="00447852" w:rsidRDefault="001479E7" w:rsidP="001479E7">
      <w:pPr>
        <w:pStyle w:val="BodyTextIndent"/>
        <w:spacing w:before="240"/>
        <w:ind w:left="4320" w:firstLine="0"/>
        <w:jc w:val="center"/>
        <w:rPr>
          <w:b/>
          <w:color w:val="000000"/>
          <w:sz w:val="26"/>
          <w:szCs w:val="26"/>
        </w:rPr>
      </w:pPr>
      <w:r w:rsidRPr="00447852">
        <w:rPr>
          <w:b/>
          <w:color w:val="000000"/>
          <w:sz w:val="26"/>
          <w:szCs w:val="26"/>
        </w:rPr>
        <w:t>TM. ỦY BAN NHÂN DÂN</w:t>
      </w:r>
    </w:p>
    <w:p w:rsidR="001479E7" w:rsidRPr="00447852" w:rsidRDefault="001479E7" w:rsidP="001479E7">
      <w:pPr>
        <w:pStyle w:val="BodyTextIndent"/>
        <w:ind w:left="4320" w:firstLine="0"/>
        <w:jc w:val="center"/>
        <w:rPr>
          <w:b/>
          <w:color w:val="000000"/>
          <w:sz w:val="26"/>
          <w:szCs w:val="26"/>
        </w:rPr>
      </w:pPr>
      <w:r w:rsidRPr="00447852">
        <w:rPr>
          <w:b/>
          <w:color w:val="000000"/>
          <w:sz w:val="26"/>
          <w:szCs w:val="26"/>
        </w:rPr>
        <w:t>KT. CHỦ TỊCH</w:t>
      </w:r>
    </w:p>
    <w:p w:rsidR="001479E7" w:rsidRPr="00447852" w:rsidRDefault="001479E7" w:rsidP="001479E7">
      <w:pPr>
        <w:pStyle w:val="BodyTextIndent"/>
        <w:ind w:left="4320" w:firstLine="0"/>
        <w:jc w:val="center"/>
        <w:rPr>
          <w:b/>
          <w:color w:val="000000"/>
          <w:sz w:val="26"/>
          <w:szCs w:val="26"/>
        </w:rPr>
      </w:pPr>
      <w:r w:rsidRPr="00447852">
        <w:rPr>
          <w:b/>
          <w:color w:val="000000"/>
          <w:sz w:val="26"/>
          <w:szCs w:val="26"/>
        </w:rPr>
        <w:t>PHÓ CHỦ TỊCH</w:t>
      </w:r>
    </w:p>
    <w:p w:rsidR="001479E7" w:rsidRPr="00447852" w:rsidRDefault="001479E7" w:rsidP="001479E7">
      <w:pPr>
        <w:pStyle w:val="BodyTextIndent"/>
        <w:ind w:left="4320" w:firstLine="0"/>
        <w:jc w:val="center"/>
        <w:rPr>
          <w:color w:val="000000"/>
          <w:sz w:val="26"/>
          <w:szCs w:val="26"/>
        </w:rPr>
      </w:pPr>
      <w:r w:rsidRPr="00447852">
        <w:rPr>
          <w:b/>
          <w:color w:val="000000"/>
          <w:sz w:val="26"/>
          <w:szCs w:val="26"/>
        </w:rPr>
        <w:t>Nguyễn Mạnh Hùng</w:t>
      </w:r>
    </w:p>
    <w:p w:rsidR="001479E7" w:rsidRDefault="001479E7" w:rsidP="001479E7">
      <w:pPr>
        <w:tabs>
          <w:tab w:val="left" w:pos="4920"/>
        </w:tabs>
        <w:rPr>
          <w:color w:val="000000"/>
          <w:sz w:val="26"/>
          <w:szCs w:val="26"/>
        </w:rPr>
      </w:pPr>
    </w:p>
    <w:p w:rsidR="001479E7" w:rsidRDefault="001479E7" w:rsidP="001479E7">
      <w:pPr>
        <w:tabs>
          <w:tab w:val="left" w:pos="4920"/>
        </w:tabs>
        <w:rPr>
          <w:color w:val="000000"/>
          <w:sz w:val="26"/>
          <w:szCs w:val="26"/>
        </w:rPr>
      </w:pPr>
    </w:p>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479E7"/>
    <w:rsid w:val="001479E7"/>
    <w:rsid w:val="00476432"/>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E7"/>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1"/>
    <w:rsid w:val="001479E7"/>
    <w:pPr>
      <w:ind w:firstLine="900"/>
      <w:jc w:val="both"/>
    </w:pPr>
    <w:rPr>
      <w:sz w:val="28"/>
    </w:rPr>
  </w:style>
  <w:style w:type="character" w:customStyle="1" w:styleId="BodyTextIndentChar">
    <w:name w:val="Body Text Indent Char"/>
    <w:basedOn w:val="DefaultParagraphFont"/>
    <w:link w:val="BodyTextIndent"/>
    <w:uiPriority w:val="99"/>
    <w:semiHidden/>
    <w:rsid w:val="001479E7"/>
    <w:rPr>
      <w:rFonts w:ascii="Times New Roman" w:eastAsia="Times New Roman" w:hAnsi="Times New Roman" w:cs="Times New Roman"/>
      <w:sz w:val="24"/>
      <w:szCs w:val="24"/>
    </w:rPr>
  </w:style>
  <w:style w:type="paragraph" w:styleId="NormalWeb">
    <w:name w:val="Normal (Web)"/>
    <w:basedOn w:val="Normal"/>
    <w:link w:val="NormalWebChar"/>
    <w:uiPriority w:val="99"/>
    <w:rsid w:val="001479E7"/>
    <w:pPr>
      <w:spacing w:before="100" w:beforeAutospacing="1" w:after="100" w:afterAutospacing="1"/>
    </w:p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link w:val="BodyTextIndent"/>
    <w:rsid w:val="001479E7"/>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1479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Company>VPUB</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2016-03-25T03:00:00Z</dcterms:created>
  <dcterms:modified xsi:type="dcterms:W3CDTF">2016-03-25T03:01:00Z</dcterms:modified>
</cp:coreProperties>
</file>