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522" w:type="dxa"/>
        <w:tblLayout w:type="fixed"/>
        <w:tblLook w:val="0000"/>
      </w:tblPr>
      <w:tblGrid>
        <w:gridCol w:w="4441"/>
        <w:gridCol w:w="5459"/>
      </w:tblGrid>
      <w:tr w:rsidR="006825AC" w:rsidRPr="00447852" w:rsidTr="00DC4087">
        <w:tblPrEx>
          <w:tblCellMar>
            <w:top w:w="0" w:type="dxa"/>
            <w:bottom w:w="0" w:type="dxa"/>
          </w:tblCellMar>
        </w:tblPrEx>
        <w:trPr>
          <w:trHeight w:val="119"/>
        </w:trPr>
        <w:tc>
          <w:tcPr>
            <w:tcW w:w="4441" w:type="dxa"/>
          </w:tcPr>
          <w:p w:rsidR="006825AC" w:rsidRPr="00447852" w:rsidRDefault="006825AC" w:rsidP="00DC4087">
            <w:pPr>
              <w:ind w:right="28"/>
              <w:rPr>
                <w:b/>
                <w:sz w:val="26"/>
                <w:szCs w:val="26"/>
              </w:rPr>
            </w:pPr>
            <w:r w:rsidRPr="00447852">
              <w:rPr>
                <w:b/>
                <w:sz w:val="26"/>
                <w:szCs w:val="26"/>
              </w:rPr>
              <w:t>ỦY BAN NHÂN DÂN</w:t>
            </w:r>
          </w:p>
          <w:p w:rsidR="006825AC" w:rsidRPr="002B7868" w:rsidRDefault="006825AC" w:rsidP="00DC4087">
            <w:pPr>
              <w:pStyle w:val="Heading3"/>
              <w:rPr>
                <w:b/>
                <w:sz w:val="26"/>
                <w:szCs w:val="26"/>
              </w:rPr>
            </w:pPr>
            <w:r w:rsidRPr="00447852">
              <w:rPr>
                <w:sz w:val="26"/>
                <w:szCs w:val="26"/>
              </w:rPr>
              <w:t xml:space="preserve"> </w:t>
            </w:r>
            <w:r w:rsidRPr="002B7868">
              <w:rPr>
                <w:b/>
                <w:sz w:val="26"/>
                <w:szCs w:val="26"/>
              </w:rPr>
              <w:t>TỈNH TÂY NINH</w:t>
            </w:r>
          </w:p>
        </w:tc>
        <w:tc>
          <w:tcPr>
            <w:tcW w:w="5459" w:type="dxa"/>
          </w:tcPr>
          <w:p w:rsidR="006825AC" w:rsidRPr="002B7868" w:rsidRDefault="006825AC" w:rsidP="00DC4087">
            <w:pPr>
              <w:pStyle w:val="Heading3"/>
              <w:rPr>
                <w:b/>
                <w:bCs/>
                <w:sz w:val="24"/>
              </w:rPr>
            </w:pPr>
            <w:r w:rsidRPr="002B7868">
              <w:rPr>
                <w:b/>
                <w:bCs/>
                <w:sz w:val="24"/>
              </w:rPr>
              <w:t xml:space="preserve">CỘNG HÒA XÃ HỘI CHỦ NGHĨA VIỆT </w:t>
            </w:r>
            <w:smartTag w:uri="urn:schemas-microsoft-com:office:smarttags" w:element="place">
              <w:smartTag w:uri="urn:schemas-microsoft-com:office:smarttags" w:element="country-region">
                <w:r w:rsidRPr="002B7868">
                  <w:rPr>
                    <w:b/>
                    <w:bCs/>
                    <w:sz w:val="24"/>
                  </w:rPr>
                  <w:t>NAM</w:t>
                </w:r>
              </w:smartTag>
            </w:smartTag>
            <w:r w:rsidRPr="002B7868">
              <w:rPr>
                <w:b/>
                <w:bCs/>
                <w:sz w:val="24"/>
              </w:rPr>
              <w:t xml:space="preserve"> Ðộc lập - Tự do - Hạnh phúc</w:t>
            </w:r>
          </w:p>
        </w:tc>
      </w:tr>
      <w:tr w:rsidR="006825AC" w:rsidRPr="00447852" w:rsidTr="00DC4087">
        <w:tblPrEx>
          <w:tblCellMar>
            <w:top w:w="0" w:type="dxa"/>
            <w:bottom w:w="0" w:type="dxa"/>
          </w:tblCellMar>
        </w:tblPrEx>
        <w:trPr>
          <w:trHeight w:val="310"/>
        </w:trPr>
        <w:tc>
          <w:tcPr>
            <w:tcW w:w="4441" w:type="dxa"/>
          </w:tcPr>
          <w:p w:rsidR="006825AC" w:rsidRPr="00447852" w:rsidRDefault="006825AC" w:rsidP="00DC4087">
            <w:pPr>
              <w:pStyle w:val="Heading2"/>
              <w:rPr>
                <w:sz w:val="26"/>
                <w:szCs w:val="26"/>
              </w:rPr>
            </w:pPr>
            <w:r w:rsidRPr="00447852">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72.25pt;margin-top:2.6pt;width:56.7pt;height:.05pt;z-index:251661312;mso-position-horizontal-relative:text;mso-position-vertical-relative:text" o:connectortype="straight"/>
              </w:pict>
            </w:r>
          </w:p>
        </w:tc>
        <w:tc>
          <w:tcPr>
            <w:tcW w:w="5459" w:type="dxa"/>
          </w:tcPr>
          <w:p w:rsidR="006825AC" w:rsidRPr="00447852" w:rsidRDefault="006825AC" w:rsidP="00DC4087">
            <w:pPr>
              <w:rPr>
                <w:b/>
                <w:bCs/>
                <w:sz w:val="26"/>
                <w:szCs w:val="26"/>
              </w:rPr>
            </w:pPr>
            <w:r w:rsidRPr="002B7868">
              <w:rPr>
                <w:b/>
                <w:bCs/>
                <w:noProof/>
              </w:rPr>
              <w:pict>
                <v:shape id="_x0000_s1026" type="#_x0000_t32" style="position:absolute;left:0;text-align:left;margin-left:62.05pt;margin-top:3.05pt;width:141.55pt;height:2.2pt;z-index:251660288;mso-position-horizontal-relative:text;mso-position-vertical-relative:text" o:connectortype="straight"/>
              </w:pict>
            </w:r>
          </w:p>
        </w:tc>
      </w:tr>
      <w:tr w:rsidR="006825AC" w:rsidRPr="00447852" w:rsidTr="00DC4087">
        <w:tblPrEx>
          <w:tblCellMar>
            <w:top w:w="0" w:type="dxa"/>
            <w:bottom w:w="0" w:type="dxa"/>
          </w:tblCellMar>
        </w:tblPrEx>
        <w:trPr>
          <w:trHeight w:val="261"/>
        </w:trPr>
        <w:tc>
          <w:tcPr>
            <w:tcW w:w="4441" w:type="dxa"/>
          </w:tcPr>
          <w:p w:rsidR="006825AC" w:rsidRPr="00447852" w:rsidRDefault="006825AC" w:rsidP="00DC4087">
            <w:pPr>
              <w:rPr>
                <w:sz w:val="26"/>
                <w:szCs w:val="26"/>
              </w:rPr>
            </w:pPr>
            <w:r w:rsidRPr="00447852">
              <w:rPr>
                <w:sz w:val="26"/>
                <w:szCs w:val="26"/>
              </w:rPr>
              <w:t>Số: 100/QĐ-UBND</w:t>
            </w:r>
          </w:p>
        </w:tc>
        <w:tc>
          <w:tcPr>
            <w:tcW w:w="5459" w:type="dxa"/>
          </w:tcPr>
          <w:p w:rsidR="006825AC" w:rsidRPr="00447852" w:rsidRDefault="006825AC" w:rsidP="00DC4087">
            <w:pPr>
              <w:pStyle w:val="Heading1"/>
              <w:rPr>
                <w:b/>
                <w:i/>
                <w:sz w:val="26"/>
                <w:szCs w:val="26"/>
              </w:rPr>
            </w:pPr>
            <w:r w:rsidRPr="00447852">
              <w:rPr>
                <w:b/>
                <w:i/>
                <w:sz w:val="26"/>
                <w:szCs w:val="26"/>
              </w:rPr>
              <w:t>Tây Ninh, ngày 15  tháng 01  năm 2016</w:t>
            </w:r>
          </w:p>
        </w:tc>
      </w:tr>
    </w:tbl>
    <w:p w:rsidR="006825AC" w:rsidRPr="00325092" w:rsidRDefault="006825AC" w:rsidP="006825AC">
      <w:pPr>
        <w:rPr>
          <w:b/>
          <w:sz w:val="8"/>
          <w:szCs w:val="26"/>
        </w:rPr>
      </w:pPr>
    </w:p>
    <w:p w:rsidR="006825AC" w:rsidRDefault="006825AC" w:rsidP="006825AC">
      <w:pPr>
        <w:rPr>
          <w:b/>
          <w:sz w:val="26"/>
          <w:szCs w:val="26"/>
        </w:rPr>
      </w:pPr>
    </w:p>
    <w:p w:rsidR="006825AC" w:rsidRPr="00447852" w:rsidRDefault="006825AC" w:rsidP="006825AC">
      <w:pPr>
        <w:rPr>
          <w:b/>
          <w:sz w:val="26"/>
          <w:szCs w:val="26"/>
        </w:rPr>
      </w:pPr>
      <w:r w:rsidRPr="00447852">
        <w:rPr>
          <w:b/>
          <w:sz w:val="26"/>
          <w:szCs w:val="26"/>
        </w:rPr>
        <w:t>QUYẾT ĐỊNH</w:t>
      </w:r>
    </w:p>
    <w:p w:rsidR="006825AC" w:rsidRPr="00447852" w:rsidRDefault="006825AC" w:rsidP="006825AC">
      <w:pPr>
        <w:rPr>
          <w:b/>
          <w:sz w:val="26"/>
          <w:szCs w:val="26"/>
        </w:rPr>
      </w:pPr>
      <w:r w:rsidRPr="00447852">
        <w:rPr>
          <w:b/>
          <w:sz w:val="26"/>
          <w:szCs w:val="26"/>
        </w:rPr>
        <w:t>Bãi bỏ một phần văn bản do Ủy ban Nhân dân tỉnh ban hành</w:t>
      </w:r>
    </w:p>
    <w:p w:rsidR="006825AC" w:rsidRPr="00325092" w:rsidRDefault="006825AC" w:rsidP="006825AC">
      <w:pPr>
        <w:ind w:firstLine="720"/>
        <w:rPr>
          <w:b/>
          <w:sz w:val="2"/>
          <w:szCs w:val="26"/>
        </w:rPr>
      </w:pPr>
    </w:p>
    <w:p w:rsidR="006825AC" w:rsidRDefault="006825AC" w:rsidP="006825AC">
      <w:pPr>
        <w:spacing w:before="120" w:after="120"/>
        <w:rPr>
          <w:b/>
          <w:sz w:val="26"/>
          <w:szCs w:val="26"/>
        </w:rPr>
      </w:pPr>
    </w:p>
    <w:p w:rsidR="006825AC" w:rsidRPr="00447852" w:rsidRDefault="006825AC" w:rsidP="006825AC">
      <w:pPr>
        <w:spacing w:before="120" w:after="120"/>
        <w:rPr>
          <w:b/>
          <w:sz w:val="26"/>
          <w:szCs w:val="26"/>
        </w:rPr>
      </w:pPr>
      <w:r w:rsidRPr="00447852">
        <w:rPr>
          <w:b/>
          <w:sz w:val="26"/>
          <w:szCs w:val="26"/>
        </w:rPr>
        <w:t>ỦY BAN NHÂN DÂN TỈNH</w:t>
      </w:r>
    </w:p>
    <w:p w:rsidR="006825AC" w:rsidRPr="00447852" w:rsidRDefault="006825AC" w:rsidP="006825AC">
      <w:pPr>
        <w:spacing w:before="120" w:after="120"/>
        <w:ind w:firstLine="720"/>
        <w:jc w:val="both"/>
        <w:rPr>
          <w:sz w:val="26"/>
          <w:szCs w:val="26"/>
        </w:rPr>
      </w:pPr>
      <w:r w:rsidRPr="00447852">
        <w:rPr>
          <w:sz w:val="26"/>
          <w:szCs w:val="26"/>
        </w:rPr>
        <w:t>Căn cứ Luật Tổ chức chính quyền địa phương ngày 19 tháng 6 năm 2015;</w:t>
      </w:r>
    </w:p>
    <w:p w:rsidR="006825AC" w:rsidRPr="00447852" w:rsidRDefault="006825AC" w:rsidP="006825AC">
      <w:pPr>
        <w:spacing w:before="120" w:after="120"/>
        <w:ind w:firstLine="720"/>
        <w:jc w:val="both"/>
        <w:rPr>
          <w:sz w:val="26"/>
          <w:szCs w:val="26"/>
        </w:rPr>
      </w:pPr>
      <w:r w:rsidRPr="00447852">
        <w:rPr>
          <w:sz w:val="26"/>
          <w:szCs w:val="26"/>
        </w:rPr>
        <w:t>Căn cứ Nghị định số 40/2010/NĐ-CP, ngày 12/4/2010 của Chính phủ về kiểm tra và sử lý văn bản quy phạm pháp luật;</w:t>
      </w:r>
    </w:p>
    <w:p w:rsidR="006825AC" w:rsidRPr="00447852" w:rsidRDefault="006825AC" w:rsidP="006825AC">
      <w:pPr>
        <w:spacing w:before="120" w:after="120"/>
        <w:ind w:firstLine="720"/>
        <w:jc w:val="both"/>
        <w:rPr>
          <w:sz w:val="26"/>
          <w:szCs w:val="26"/>
        </w:rPr>
      </w:pPr>
      <w:r w:rsidRPr="00447852">
        <w:rPr>
          <w:sz w:val="26"/>
          <w:szCs w:val="26"/>
        </w:rPr>
        <w:t>Căn cứ Nghị định số 24/2014/NĐ-CP, ngày 04 tháng 4 năm 2014 của Chính phủ quy định tổ chức các cơ quan chuyên môn thuộc Ủy ban Nhân dân tỉnh, thành phố trực thuộc Trung ương;</w:t>
      </w:r>
    </w:p>
    <w:p w:rsidR="006825AC" w:rsidRPr="00447852" w:rsidRDefault="006825AC" w:rsidP="006825AC">
      <w:pPr>
        <w:spacing w:before="120" w:after="120"/>
        <w:ind w:firstLine="720"/>
        <w:jc w:val="both"/>
        <w:rPr>
          <w:sz w:val="26"/>
          <w:szCs w:val="26"/>
        </w:rPr>
      </w:pPr>
      <w:r w:rsidRPr="00447852">
        <w:rPr>
          <w:sz w:val="26"/>
          <w:szCs w:val="26"/>
        </w:rPr>
        <w:t>Căn cứ Thông tư Liên tịch số 29/2014/TTLT-BKHCN-BNV, ngày 15 tháng 10 năm 2014 của Bộ Khoa học và Công nghệ và Bộ Nội vụ hướng dẫn chức năng, nhiệm vụ, quyền hạn và cơ cấu tổ chức của cơ quan chuyên môn về khoa học và công nghệ thuộc Ủy ban Nhân dân cấp tỉnh, cấp huyện;</w:t>
      </w:r>
    </w:p>
    <w:p w:rsidR="006825AC" w:rsidRPr="00447852" w:rsidRDefault="006825AC" w:rsidP="006825AC">
      <w:pPr>
        <w:spacing w:before="120" w:after="120"/>
        <w:ind w:firstLine="720"/>
        <w:jc w:val="both"/>
        <w:rPr>
          <w:sz w:val="26"/>
          <w:szCs w:val="26"/>
        </w:rPr>
      </w:pPr>
      <w:r w:rsidRPr="00447852">
        <w:rPr>
          <w:sz w:val="26"/>
          <w:szCs w:val="26"/>
        </w:rPr>
        <w:t>Xét đề nghị của Giám đốc Sở Khoa học và Công nghệ,</w:t>
      </w:r>
    </w:p>
    <w:p w:rsidR="006825AC" w:rsidRDefault="006825AC" w:rsidP="006825AC">
      <w:pPr>
        <w:spacing w:before="120" w:after="120"/>
        <w:rPr>
          <w:b/>
          <w:sz w:val="26"/>
          <w:szCs w:val="26"/>
        </w:rPr>
      </w:pPr>
    </w:p>
    <w:p w:rsidR="006825AC" w:rsidRPr="00447852" w:rsidRDefault="006825AC" w:rsidP="006825AC">
      <w:pPr>
        <w:spacing w:before="120" w:after="120"/>
        <w:rPr>
          <w:b/>
          <w:sz w:val="26"/>
          <w:szCs w:val="26"/>
        </w:rPr>
      </w:pPr>
      <w:r w:rsidRPr="00447852">
        <w:rPr>
          <w:b/>
          <w:sz w:val="26"/>
          <w:szCs w:val="26"/>
        </w:rPr>
        <w:t>QUYẾT ĐỊNH:</w:t>
      </w:r>
    </w:p>
    <w:p w:rsidR="006825AC" w:rsidRDefault="006825AC" w:rsidP="006825AC">
      <w:pPr>
        <w:spacing w:before="240" w:after="240"/>
        <w:rPr>
          <w:sz w:val="26"/>
          <w:szCs w:val="26"/>
        </w:rPr>
      </w:pPr>
      <w:r w:rsidRPr="00447852">
        <w:rPr>
          <w:b/>
          <w:sz w:val="26"/>
          <w:szCs w:val="26"/>
        </w:rPr>
        <w:t xml:space="preserve">Điều 1. </w:t>
      </w:r>
      <w:r w:rsidRPr="00447852">
        <w:rPr>
          <w:sz w:val="26"/>
          <w:szCs w:val="26"/>
        </w:rPr>
        <w:t>Bãi bỏ một phần 03 văn bản do Ủy ban Nhân dân tỉnh ban hành gồm:</w:t>
      </w:r>
    </w:p>
    <w:p w:rsidR="006825AC" w:rsidRPr="00447852" w:rsidRDefault="006825AC" w:rsidP="006825AC">
      <w:pPr>
        <w:spacing w:before="240" w:after="240"/>
        <w:ind w:firstLine="720"/>
        <w:jc w:val="both"/>
        <w:rPr>
          <w:sz w:val="26"/>
          <w:szCs w:val="26"/>
        </w:rPr>
      </w:pPr>
      <w:r w:rsidRPr="00447852">
        <w:rPr>
          <w:sz w:val="26"/>
          <w:szCs w:val="26"/>
        </w:rPr>
        <w:t>1. Bãi bỏ Điều 2, Điều 3, Điều 4 Quyết định số 1184/QĐ-UBND, ngày 24/6/2010 của Ủy ban Nhân dân tỉnh Tây Ninh thành lập Trung tâm Kỹ thuật Tiêu chuẩn Đo lường Chất lượng trực thuộc Chi cục Tiêu chuẩn Đo lường Chất lượng tỉnh.</w:t>
      </w:r>
    </w:p>
    <w:p w:rsidR="006825AC" w:rsidRDefault="006825AC" w:rsidP="006825AC">
      <w:pPr>
        <w:spacing w:before="120" w:after="120"/>
        <w:ind w:firstLine="720"/>
        <w:jc w:val="both"/>
        <w:rPr>
          <w:sz w:val="26"/>
          <w:szCs w:val="26"/>
        </w:rPr>
      </w:pPr>
      <w:r w:rsidRPr="00447852">
        <w:rPr>
          <w:sz w:val="26"/>
          <w:szCs w:val="26"/>
        </w:rPr>
        <w:t xml:space="preserve">2. Bãi bỏ Điều 2 Quyết định 112/QĐ-UB, ngày 20/11/1995 của Ủy ban Nhân dân tỉnh Tây Ninh về việc thành lập Trung tâm Kỹ thuật và Chuyển giao Công nghệ trực thuộc Sở Khoa học Công nghệ và Môi trường; </w:t>
      </w:r>
    </w:p>
    <w:p w:rsidR="006825AC" w:rsidRPr="00447852" w:rsidRDefault="006825AC" w:rsidP="006825AC">
      <w:pPr>
        <w:spacing w:before="120" w:after="120"/>
        <w:ind w:firstLine="720"/>
        <w:jc w:val="both"/>
        <w:rPr>
          <w:sz w:val="26"/>
          <w:szCs w:val="26"/>
        </w:rPr>
      </w:pPr>
    </w:p>
    <w:p w:rsidR="006825AC" w:rsidRDefault="006825AC" w:rsidP="006825AC">
      <w:pPr>
        <w:spacing w:before="120" w:after="120"/>
        <w:ind w:firstLine="720"/>
        <w:jc w:val="both"/>
        <w:rPr>
          <w:sz w:val="26"/>
          <w:szCs w:val="26"/>
        </w:rPr>
      </w:pPr>
      <w:r w:rsidRPr="00447852">
        <w:rPr>
          <w:sz w:val="26"/>
          <w:szCs w:val="26"/>
        </w:rPr>
        <w:t>3. Bãi bỏ khoản 2, khoản 4, Điều 1 Quyết định 136/QĐ-UBND, ngày 23/5/2007 của Chủ tịch Ủy ban Nhân dân tỉnh Tây Ninh về việc phê duyệt Đề án chuyển đổi Trung tâm Ứng dụng Tiến bộ Khoa học và Công nghệ sang hoạt động theo cơ chế tự trang trải kinh phí.</w:t>
      </w:r>
    </w:p>
    <w:p w:rsidR="006825AC" w:rsidRPr="00447852" w:rsidRDefault="006825AC" w:rsidP="006825AC">
      <w:pPr>
        <w:spacing w:before="120" w:after="120"/>
        <w:ind w:firstLine="720"/>
        <w:jc w:val="both"/>
        <w:rPr>
          <w:sz w:val="26"/>
          <w:szCs w:val="26"/>
        </w:rPr>
      </w:pPr>
    </w:p>
    <w:p w:rsidR="006825AC" w:rsidRDefault="006825AC" w:rsidP="006825AC">
      <w:pPr>
        <w:spacing w:before="120" w:after="120"/>
        <w:ind w:firstLine="720"/>
        <w:jc w:val="both"/>
        <w:rPr>
          <w:sz w:val="26"/>
          <w:szCs w:val="26"/>
        </w:rPr>
      </w:pPr>
      <w:r w:rsidRPr="00447852">
        <w:rPr>
          <w:sz w:val="26"/>
          <w:szCs w:val="26"/>
        </w:rPr>
        <w:t>Lý do: Theo quy định tại khoản 17, Điều 2 Thông tư Liên tịch số 29/2014/TTLT-BKHCN-BNV, ngày 15 tháng 10 năm 2014 của Bộ Khoa học và Công nghệ và Bộ Nội vụ thì việc ban hành quy định chức năng, nhiệm vụ, quyền hạn, tổ chức bộ máy của đơn vị trực thuộc Sở là của Sở Khoa học và Công nghệ.</w:t>
      </w:r>
    </w:p>
    <w:p w:rsidR="006825AC" w:rsidRPr="00447852" w:rsidRDefault="006825AC" w:rsidP="006825AC">
      <w:pPr>
        <w:spacing w:before="120" w:after="120"/>
        <w:ind w:firstLine="720"/>
        <w:jc w:val="both"/>
        <w:rPr>
          <w:sz w:val="26"/>
          <w:szCs w:val="26"/>
        </w:rPr>
      </w:pPr>
      <w:r w:rsidRPr="00447852">
        <w:rPr>
          <w:b/>
          <w:sz w:val="26"/>
          <w:szCs w:val="26"/>
        </w:rPr>
        <w:t xml:space="preserve">Điều 2. </w:t>
      </w:r>
      <w:r w:rsidRPr="00447852">
        <w:rPr>
          <w:sz w:val="26"/>
          <w:szCs w:val="26"/>
        </w:rPr>
        <w:t>Chánh Văn phòng Ủy ban Nhân dân tỉnh; Giám đốc các Sở: Nội vụ, Khoa học và Công nghệ, Tư pháp; Thủ trưởng các cơ quan, đơn vị có liên quan căn cứ Quyết định thi hành kể từ ngày ký./.</w:t>
      </w:r>
    </w:p>
    <w:p w:rsidR="006825AC" w:rsidRPr="00447852" w:rsidRDefault="006825AC" w:rsidP="006825AC">
      <w:pPr>
        <w:spacing w:before="120" w:after="120"/>
        <w:ind w:firstLine="720"/>
        <w:jc w:val="both"/>
        <w:rPr>
          <w:sz w:val="26"/>
          <w:szCs w:val="26"/>
        </w:rPr>
      </w:pPr>
    </w:p>
    <w:tbl>
      <w:tblPr>
        <w:tblpPr w:leftFromText="180" w:rightFromText="180" w:vertAnchor="text" w:horzAnchor="margin" w:tblpY="269"/>
        <w:tblW w:w="9708" w:type="dxa"/>
        <w:tblLook w:val="04A0"/>
      </w:tblPr>
      <w:tblGrid>
        <w:gridCol w:w="4726"/>
        <w:gridCol w:w="4982"/>
      </w:tblGrid>
      <w:tr w:rsidR="006825AC" w:rsidRPr="00447852" w:rsidTr="00DC4087">
        <w:tc>
          <w:tcPr>
            <w:tcW w:w="4644" w:type="dxa"/>
          </w:tcPr>
          <w:p w:rsidR="006825AC" w:rsidRPr="00447852" w:rsidRDefault="006825AC" w:rsidP="00DC4087">
            <w:pPr>
              <w:spacing w:before="120"/>
              <w:jc w:val="both"/>
              <w:rPr>
                <w:sz w:val="26"/>
                <w:szCs w:val="26"/>
              </w:rPr>
            </w:pPr>
          </w:p>
        </w:tc>
        <w:tc>
          <w:tcPr>
            <w:tcW w:w="4896" w:type="dxa"/>
          </w:tcPr>
          <w:p w:rsidR="006825AC" w:rsidRPr="00447852" w:rsidRDefault="006825AC" w:rsidP="00DC4087">
            <w:pPr>
              <w:spacing w:before="120"/>
              <w:rPr>
                <w:b/>
                <w:sz w:val="26"/>
                <w:szCs w:val="26"/>
              </w:rPr>
            </w:pPr>
            <w:r w:rsidRPr="00447852">
              <w:rPr>
                <w:b/>
                <w:sz w:val="26"/>
                <w:szCs w:val="26"/>
              </w:rPr>
              <w:t>TM. ỦY BAN NHÂN DÂN</w:t>
            </w:r>
          </w:p>
        </w:tc>
      </w:tr>
      <w:tr w:rsidR="006825AC" w:rsidRPr="00447852" w:rsidTr="00DC4087">
        <w:tc>
          <w:tcPr>
            <w:tcW w:w="4644" w:type="dxa"/>
          </w:tcPr>
          <w:p w:rsidR="006825AC" w:rsidRPr="00447852" w:rsidRDefault="006825AC" w:rsidP="00DC4087">
            <w:pPr>
              <w:rPr>
                <w:sz w:val="26"/>
                <w:szCs w:val="26"/>
              </w:rPr>
            </w:pPr>
          </w:p>
          <w:p w:rsidR="006825AC" w:rsidRPr="00447852" w:rsidRDefault="006825AC" w:rsidP="00DC4087">
            <w:pPr>
              <w:tabs>
                <w:tab w:val="left" w:pos="3508"/>
              </w:tabs>
              <w:jc w:val="left"/>
              <w:rPr>
                <w:sz w:val="26"/>
                <w:szCs w:val="26"/>
              </w:rPr>
            </w:pPr>
          </w:p>
        </w:tc>
        <w:tc>
          <w:tcPr>
            <w:tcW w:w="4896" w:type="dxa"/>
          </w:tcPr>
          <w:p w:rsidR="006825AC" w:rsidRPr="00447852" w:rsidRDefault="006825AC" w:rsidP="00DC4087">
            <w:pPr>
              <w:rPr>
                <w:b/>
                <w:sz w:val="26"/>
                <w:szCs w:val="26"/>
              </w:rPr>
            </w:pPr>
            <w:r w:rsidRPr="00447852">
              <w:rPr>
                <w:b/>
                <w:sz w:val="26"/>
                <w:szCs w:val="26"/>
              </w:rPr>
              <w:t>CHỦ TỊCH</w:t>
            </w:r>
          </w:p>
          <w:p w:rsidR="006825AC" w:rsidRDefault="006825AC" w:rsidP="00DC4087">
            <w:pPr>
              <w:rPr>
                <w:b/>
                <w:sz w:val="26"/>
                <w:szCs w:val="26"/>
              </w:rPr>
            </w:pPr>
            <w:r w:rsidRPr="00447852">
              <w:rPr>
                <w:b/>
                <w:sz w:val="26"/>
                <w:szCs w:val="26"/>
              </w:rPr>
              <w:t>Phạm Văn Tân</w:t>
            </w: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Default="006825AC" w:rsidP="00DC4087">
            <w:pPr>
              <w:rPr>
                <w:b/>
                <w:sz w:val="26"/>
                <w:szCs w:val="26"/>
              </w:rPr>
            </w:pPr>
          </w:p>
          <w:p w:rsidR="006825AC" w:rsidRPr="00D67DAB" w:rsidRDefault="006825AC" w:rsidP="00DC4087">
            <w:pPr>
              <w:rPr>
                <w:b/>
                <w:sz w:val="26"/>
                <w:szCs w:val="26"/>
              </w:rPr>
            </w:pPr>
          </w:p>
        </w:tc>
      </w:tr>
    </w:tbl>
    <w:p w:rsidR="00DA4FA9" w:rsidRDefault="00DA4FA9"/>
    <w:sectPr w:rsidR="00DA4FA9" w:rsidSect="00CB2265">
      <w:pgSz w:w="11909" w:h="16834" w:code="9"/>
      <w:pgMar w:top="1080" w:right="1109" w:bottom="44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825AC"/>
    <w:rsid w:val="00476432"/>
    <w:rsid w:val="006825AC"/>
    <w:rsid w:val="00CB2265"/>
    <w:rsid w:val="00DA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AC"/>
    <w:pPr>
      <w:spacing w:after="0" w:line="240" w:lineRule="auto"/>
      <w:jc w:val="center"/>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825AC"/>
    <w:pPr>
      <w:keepNext/>
      <w:outlineLvl w:val="0"/>
    </w:pPr>
    <w:rPr>
      <w:sz w:val="28"/>
    </w:rPr>
  </w:style>
  <w:style w:type="paragraph" w:styleId="Heading2">
    <w:name w:val="heading 2"/>
    <w:basedOn w:val="Normal"/>
    <w:next w:val="Normal"/>
    <w:link w:val="Heading2Char"/>
    <w:qFormat/>
    <w:rsid w:val="006825AC"/>
    <w:pPr>
      <w:keepNext/>
      <w:outlineLvl w:val="1"/>
    </w:pPr>
    <w:rPr>
      <w:i/>
      <w:iCs/>
      <w:sz w:val="28"/>
    </w:rPr>
  </w:style>
  <w:style w:type="paragraph" w:styleId="Heading3">
    <w:name w:val="heading 3"/>
    <w:basedOn w:val="Normal"/>
    <w:next w:val="Normal"/>
    <w:link w:val="Heading3Char"/>
    <w:uiPriority w:val="99"/>
    <w:qFormat/>
    <w:rsid w:val="006825AC"/>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25A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6825AC"/>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uiPriority w:val="99"/>
    <w:rsid w:val="006825AC"/>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Company>VPUB</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TTTH</dc:creator>
  <cp:keywords/>
  <dc:description/>
  <cp:lastModifiedBy>TTTH</cp:lastModifiedBy>
  <cp:revision>1</cp:revision>
  <dcterms:created xsi:type="dcterms:W3CDTF">2016-03-25T03:22:00Z</dcterms:created>
  <dcterms:modified xsi:type="dcterms:W3CDTF">2016-03-25T03:22:00Z</dcterms:modified>
</cp:coreProperties>
</file>