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469"/>
        <w:gridCol w:w="5987"/>
      </w:tblGrid>
      <w:tr w:rsidR="00D83594" w:rsidRPr="001A7A3C" w:rsidTr="00907376">
        <w:trPr>
          <w:trHeight w:val="259"/>
        </w:trPr>
        <w:tc>
          <w:tcPr>
            <w:tcW w:w="3469" w:type="dxa"/>
          </w:tcPr>
          <w:p w:rsidR="00D83594" w:rsidRPr="001A7A3C" w:rsidRDefault="00D83594" w:rsidP="00907376">
            <w:pPr>
              <w:tabs>
                <w:tab w:val="center" w:pos="6500"/>
              </w:tabs>
              <w:jc w:val="center"/>
              <w:rPr>
                <w:sz w:val="28"/>
                <w:szCs w:val="28"/>
              </w:rPr>
            </w:pPr>
            <w:r w:rsidRPr="001A7A3C">
              <w:rPr>
                <w:b/>
                <w:sz w:val="28"/>
                <w:szCs w:val="28"/>
              </w:rPr>
              <w:t>ỦY BAN NHÂN DÂN</w:t>
            </w:r>
          </w:p>
        </w:tc>
        <w:tc>
          <w:tcPr>
            <w:tcW w:w="5987" w:type="dxa"/>
          </w:tcPr>
          <w:p w:rsidR="00D83594" w:rsidRPr="001A7A3C" w:rsidRDefault="00D83594" w:rsidP="00907376">
            <w:pPr>
              <w:tabs>
                <w:tab w:val="center" w:pos="6500"/>
              </w:tabs>
              <w:ind w:right="-279"/>
              <w:rPr>
                <w:sz w:val="28"/>
                <w:szCs w:val="28"/>
              </w:rPr>
            </w:pPr>
            <w:r w:rsidRPr="001A7A3C">
              <w:rPr>
                <w:b/>
                <w:sz w:val="28"/>
                <w:szCs w:val="28"/>
              </w:rPr>
              <w:t xml:space="preserve">CỘNG HÒA XÃ HỘI CHỦ NGHĨA VIỆT </w:t>
            </w:r>
            <w:smartTag w:uri="urn:schemas-microsoft-com:office:smarttags" w:element="place">
              <w:smartTag w:uri="urn:schemas-microsoft-com:office:smarttags" w:element="country-region">
                <w:r w:rsidRPr="001A7A3C">
                  <w:rPr>
                    <w:b/>
                    <w:sz w:val="28"/>
                    <w:szCs w:val="28"/>
                  </w:rPr>
                  <w:t>NAM</w:t>
                </w:r>
              </w:smartTag>
            </w:smartTag>
          </w:p>
        </w:tc>
      </w:tr>
      <w:tr w:rsidR="00D83594" w:rsidRPr="001A7A3C" w:rsidTr="00907376">
        <w:trPr>
          <w:trHeight w:val="259"/>
        </w:trPr>
        <w:tc>
          <w:tcPr>
            <w:tcW w:w="3469" w:type="dxa"/>
          </w:tcPr>
          <w:p w:rsidR="00D83594" w:rsidRPr="001A7A3C" w:rsidRDefault="00D83594" w:rsidP="00907376">
            <w:pPr>
              <w:tabs>
                <w:tab w:val="center" w:pos="6500"/>
              </w:tabs>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662305</wp:posOffset>
                      </wp:positionH>
                      <wp:positionV relativeFrom="paragraph">
                        <wp:posOffset>238125</wp:posOffset>
                      </wp:positionV>
                      <wp:extent cx="687705" cy="0"/>
                      <wp:effectExtent l="5715" t="9525" r="1143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8.75pt" to="106.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Y9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zp6d0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"/>
                  </w:pict>
                </mc:Fallback>
              </mc:AlternateContent>
            </w:r>
            <w:r w:rsidRPr="001A7A3C">
              <w:rPr>
                <w:b/>
                <w:sz w:val="28"/>
                <w:szCs w:val="28"/>
              </w:rPr>
              <w:t>TỈNH TÂY NINH</w:t>
            </w:r>
          </w:p>
        </w:tc>
        <w:tc>
          <w:tcPr>
            <w:tcW w:w="5987" w:type="dxa"/>
          </w:tcPr>
          <w:p w:rsidR="00D83594" w:rsidRPr="001A7A3C" w:rsidRDefault="00D83594" w:rsidP="00907376">
            <w:pPr>
              <w:tabs>
                <w:tab w:val="center" w:pos="6500"/>
              </w:tabs>
              <w:jc w:val="center"/>
              <w:rPr>
                <w:b/>
                <w:sz w:val="28"/>
                <w:szCs w:val="28"/>
              </w:rPr>
            </w:pPr>
            <w:r w:rsidRPr="001A7A3C">
              <w:rPr>
                <w:b/>
                <w:sz w:val="28"/>
                <w:szCs w:val="28"/>
              </w:rPr>
              <w:t>Độc lập – Tự do – Hạnh phúc</w:t>
            </w:r>
          </w:p>
        </w:tc>
      </w:tr>
      <w:tr w:rsidR="00D83594" w:rsidRPr="00824D39" w:rsidTr="00907376">
        <w:trPr>
          <w:trHeight w:val="475"/>
        </w:trPr>
        <w:tc>
          <w:tcPr>
            <w:tcW w:w="3469" w:type="dxa"/>
            <w:vAlign w:val="bottom"/>
          </w:tcPr>
          <w:p w:rsidR="00D83594" w:rsidRPr="00824D39" w:rsidRDefault="00D83594" w:rsidP="00907376">
            <w:pPr>
              <w:tabs>
                <w:tab w:val="center" w:pos="6500"/>
              </w:tabs>
              <w:jc w:val="center"/>
              <w:rPr>
                <w:b/>
                <w:sz w:val="28"/>
                <w:szCs w:val="28"/>
              </w:rPr>
            </w:pPr>
            <w:r w:rsidRPr="00824D39">
              <w:rPr>
                <w:sz w:val="28"/>
                <w:szCs w:val="28"/>
              </w:rPr>
              <w:t xml:space="preserve">Số: </w:t>
            </w:r>
            <w:bookmarkStart w:id="0" w:name="_GoBack"/>
            <w:r w:rsidRPr="00824D39">
              <w:rPr>
                <w:sz w:val="28"/>
                <w:szCs w:val="28"/>
              </w:rPr>
              <w:t>48/2012/QĐ-UBND</w:t>
            </w:r>
            <w:bookmarkEnd w:id="0"/>
          </w:p>
        </w:tc>
        <w:tc>
          <w:tcPr>
            <w:tcW w:w="5987" w:type="dxa"/>
            <w:vAlign w:val="bottom"/>
          </w:tcPr>
          <w:p w:rsidR="00D83594" w:rsidRPr="00824D39" w:rsidRDefault="00D83594" w:rsidP="00907376">
            <w:pPr>
              <w:tabs>
                <w:tab w:val="center" w:pos="6500"/>
              </w:tabs>
              <w:jc w:val="center"/>
              <w:rPr>
                <w:i/>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728345</wp:posOffset>
                      </wp:positionH>
                      <wp:positionV relativeFrom="paragraph">
                        <wp:posOffset>29210</wp:posOffset>
                      </wp:positionV>
                      <wp:extent cx="2171700" cy="0"/>
                      <wp:effectExtent l="762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3pt" to="228.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"/>
                  </w:pict>
                </mc:Fallback>
              </mc:AlternateContent>
            </w:r>
          </w:p>
          <w:p w:rsidR="00D83594" w:rsidRPr="00824D39" w:rsidRDefault="00D83594" w:rsidP="00907376">
            <w:pPr>
              <w:tabs>
                <w:tab w:val="center" w:pos="6500"/>
              </w:tabs>
              <w:jc w:val="center"/>
              <w:rPr>
                <w:b/>
                <w:sz w:val="28"/>
                <w:szCs w:val="28"/>
              </w:rPr>
            </w:pPr>
            <w:r w:rsidRPr="00824D39">
              <w:rPr>
                <w:i/>
                <w:sz w:val="28"/>
                <w:szCs w:val="28"/>
              </w:rPr>
              <w:t>Tây Ninh,  ngày 24 tháng 10 năm 2012</w:t>
            </w:r>
          </w:p>
        </w:tc>
      </w:tr>
    </w:tbl>
    <w:p w:rsidR="00D83594" w:rsidRPr="00824D39" w:rsidRDefault="00D83594" w:rsidP="00D83594">
      <w:pPr>
        <w:pStyle w:val="Heading9"/>
        <w:spacing w:before="0" w:after="0"/>
        <w:rPr>
          <w:rFonts w:ascii="Times New Roman" w:hAnsi="Times New Roman"/>
          <w:b/>
          <w:bCs/>
          <w:sz w:val="28"/>
          <w:szCs w:val="28"/>
        </w:rPr>
      </w:pPr>
    </w:p>
    <w:p w:rsidR="00D83594" w:rsidRPr="00824D39" w:rsidRDefault="00D83594" w:rsidP="00D83594">
      <w:pPr>
        <w:pStyle w:val="Heading9"/>
        <w:spacing w:before="0" w:after="0"/>
        <w:jc w:val="center"/>
        <w:rPr>
          <w:rFonts w:ascii="Times New Roman" w:hAnsi="Times New Roman"/>
          <w:b/>
          <w:bCs/>
          <w:sz w:val="28"/>
          <w:szCs w:val="28"/>
        </w:rPr>
      </w:pPr>
      <w:r w:rsidRPr="00824D39">
        <w:rPr>
          <w:rFonts w:ascii="Times New Roman" w:hAnsi="Times New Roman"/>
          <w:b/>
          <w:bCs/>
          <w:sz w:val="28"/>
          <w:szCs w:val="28"/>
        </w:rPr>
        <w:t>QUYẾT ĐỊNH</w:t>
      </w:r>
    </w:p>
    <w:p w:rsidR="00D83594" w:rsidRPr="00824D39" w:rsidRDefault="00D83594" w:rsidP="00D83594">
      <w:pPr>
        <w:ind w:left="570" w:right="579"/>
        <w:jc w:val="center"/>
        <w:rPr>
          <w:b/>
          <w:sz w:val="28"/>
          <w:szCs w:val="28"/>
        </w:rPr>
      </w:pPr>
      <w:r w:rsidRPr="00824D39">
        <w:rPr>
          <w:b/>
          <w:sz w:val="28"/>
          <w:szCs w:val="28"/>
        </w:rPr>
        <w:t xml:space="preserve">Về việc Ban hành Quy định mức trích từ các khoản thu hồi </w:t>
      </w:r>
    </w:p>
    <w:p w:rsidR="00D83594" w:rsidRPr="00824D39" w:rsidRDefault="00D83594" w:rsidP="00D83594">
      <w:pPr>
        <w:ind w:left="570" w:right="579"/>
        <w:jc w:val="center"/>
        <w:rPr>
          <w:b/>
          <w:sz w:val="28"/>
          <w:szCs w:val="28"/>
        </w:rPr>
      </w:pPr>
      <w:r w:rsidRPr="00824D39">
        <w:rPr>
          <w:b/>
          <w:sz w:val="28"/>
          <w:szCs w:val="28"/>
        </w:rPr>
        <w:t xml:space="preserve">phát hiện qua công tác thanh tra đã thực nộp vào ngân sách </w:t>
      </w:r>
    </w:p>
    <w:p w:rsidR="00D83594" w:rsidRPr="00824D39" w:rsidRDefault="00D83594" w:rsidP="00D83594">
      <w:pPr>
        <w:ind w:left="570" w:right="579"/>
        <w:jc w:val="center"/>
        <w:rPr>
          <w:b/>
          <w:sz w:val="28"/>
          <w:szCs w:val="28"/>
        </w:rPr>
      </w:pPr>
      <w:r w:rsidRPr="00824D39">
        <w:rPr>
          <w:b/>
          <w:sz w:val="28"/>
          <w:szCs w:val="28"/>
        </w:rPr>
        <w:t>Nhà nước trên địa bàn tỉnh Tây Ninh</w:t>
      </w:r>
    </w:p>
    <w:p w:rsidR="00D83594" w:rsidRPr="00824D39" w:rsidRDefault="00D83594" w:rsidP="00D83594">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2164080</wp:posOffset>
                </wp:positionH>
                <wp:positionV relativeFrom="paragraph">
                  <wp:posOffset>55245</wp:posOffset>
                </wp:positionV>
                <wp:extent cx="1845945" cy="0"/>
                <wp:effectExtent l="12065" t="5080" r="889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4.35pt" to="315.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P/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ni3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"/>
            </w:pict>
          </mc:Fallback>
        </mc:AlternateContent>
      </w:r>
      <w:r w:rsidRPr="00824D39">
        <w:rPr>
          <w:sz w:val="28"/>
          <w:szCs w:val="28"/>
        </w:rPr>
        <w:softHyphen/>
      </w:r>
      <w:r w:rsidRPr="00824D39">
        <w:rPr>
          <w:sz w:val="28"/>
          <w:szCs w:val="28"/>
        </w:rPr>
        <w:softHyphen/>
      </w:r>
      <w:r w:rsidRPr="00824D39">
        <w:rPr>
          <w:sz w:val="28"/>
          <w:szCs w:val="28"/>
        </w:rPr>
        <w:softHyphen/>
      </w:r>
      <w:r w:rsidRPr="00824D39">
        <w:rPr>
          <w:sz w:val="28"/>
          <w:szCs w:val="28"/>
        </w:rPr>
        <w:softHyphen/>
      </w:r>
      <w:r w:rsidRPr="00824D39">
        <w:rPr>
          <w:sz w:val="28"/>
          <w:szCs w:val="28"/>
        </w:rPr>
        <w:softHyphen/>
      </w:r>
      <w:r w:rsidRPr="00824D39">
        <w:rPr>
          <w:sz w:val="28"/>
          <w:szCs w:val="28"/>
        </w:rPr>
        <w:softHyphen/>
      </w:r>
    </w:p>
    <w:p w:rsidR="00D83594" w:rsidRDefault="00D83594" w:rsidP="00D83594">
      <w:pPr>
        <w:pStyle w:val="Heading7"/>
        <w:spacing w:before="0" w:after="0"/>
        <w:jc w:val="center"/>
        <w:rPr>
          <w:rFonts w:ascii="Times New Roman" w:hAnsi="Times New Roman"/>
          <w:b/>
          <w:sz w:val="28"/>
          <w:szCs w:val="28"/>
        </w:rPr>
      </w:pPr>
      <w:r w:rsidRPr="00824D39">
        <w:rPr>
          <w:rFonts w:ascii="Times New Roman" w:hAnsi="Times New Roman"/>
          <w:b/>
          <w:sz w:val="28"/>
          <w:szCs w:val="28"/>
        </w:rPr>
        <w:t>ỦY BAN NHÂN DÂN TỈNH</w:t>
      </w:r>
    </w:p>
    <w:p w:rsidR="00D83594" w:rsidRPr="00824D39" w:rsidRDefault="00D83594" w:rsidP="00D83594">
      <w:pPr>
        <w:rPr>
          <w:sz w:val="10"/>
        </w:rPr>
      </w:pPr>
    </w:p>
    <w:p w:rsidR="00D83594" w:rsidRPr="00824D39" w:rsidRDefault="00D83594" w:rsidP="00D83594">
      <w:pPr>
        <w:ind w:firstLine="720"/>
        <w:jc w:val="both"/>
        <w:rPr>
          <w:sz w:val="28"/>
          <w:szCs w:val="28"/>
        </w:rPr>
      </w:pPr>
      <w:r w:rsidRPr="00824D39">
        <w:rPr>
          <w:sz w:val="28"/>
          <w:szCs w:val="28"/>
        </w:rPr>
        <w:t>Căn cứ Luật Tổ chức Hội đồng nhân dân và Ủy ban nhân dân ngày 26 tháng 11 năm 2003;</w:t>
      </w:r>
    </w:p>
    <w:p w:rsidR="00D83594" w:rsidRPr="00824D39" w:rsidRDefault="00D83594" w:rsidP="00D83594">
      <w:pPr>
        <w:ind w:firstLine="720"/>
        <w:jc w:val="both"/>
        <w:rPr>
          <w:sz w:val="28"/>
          <w:szCs w:val="28"/>
        </w:rPr>
      </w:pPr>
      <w:r w:rsidRPr="00824D39">
        <w:rPr>
          <w:sz w:val="28"/>
          <w:szCs w:val="28"/>
        </w:rPr>
        <w:t>Căn cứ Luật Ngân sách Nhà nước số 01/2002/QH11, ngày 16 tháng 12 năm 2002;</w:t>
      </w:r>
    </w:p>
    <w:p w:rsidR="00D83594" w:rsidRPr="00824D39" w:rsidRDefault="00D83594" w:rsidP="00D83594">
      <w:pPr>
        <w:ind w:firstLine="720"/>
        <w:jc w:val="both"/>
        <w:rPr>
          <w:sz w:val="28"/>
          <w:szCs w:val="28"/>
        </w:rPr>
      </w:pPr>
      <w:r w:rsidRPr="00824D39">
        <w:rPr>
          <w:sz w:val="28"/>
          <w:szCs w:val="28"/>
        </w:rPr>
        <w:t>Căn cứ Nghị định số 60/2003/NĐ-CP, ngày 06 tháng 6 năm 2003 của Chính phủ Quy định chi tiết và hướng dẫn thi hành Luật Ngân sách Nhà nước;</w:t>
      </w:r>
    </w:p>
    <w:p w:rsidR="00D83594" w:rsidRPr="00824D39" w:rsidRDefault="00D83594" w:rsidP="00D83594">
      <w:pPr>
        <w:ind w:firstLine="720"/>
        <w:jc w:val="both"/>
        <w:rPr>
          <w:sz w:val="28"/>
          <w:szCs w:val="28"/>
        </w:rPr>
      </w:pPr>
      <w:r w:rsidRPr="00824D39">
        <w:rPr>
          <w:sz w:val="28"/>
          <w:szCs w:val="28"/>
        </w:rPr>
        <w:t>Căn cứ Thông tư liên tịch số 90/2012/TTLT-BTC-TTCP, ngày 30/5/2012 của Bộ trưởng Bộ Tài chính và Tổng Thanh tra Chính phủ Quy định việc lập dự toán, quản lý, sử dụng và quyết toán kinh phí được trích từ các khoản thu hồi phát hiện qua công tác thanh tra đã thực nộp vào ngân sách Nhà nước;</w:t>
      </w:r>
    </w:p>
    <w:p w:rsidR="00D83594" w:rsidRPr="00824D39" w:rsidRDefault="00D83594" w:rsidP="00D83594">
      <w:pPr>
        <w:ind w:firstLine="720"/>
        <w:jc w:val="both"/>
        <w:rPr>
          <w:sz w:val="28"/>
          <w:szCs w:val="28"/>
        </w:rPr>
      </w:pPr>
      <w:r w:rsidRPr="00824D39">
        <w:rPr>
          <w:sz w:val="28"/>
          <w:szCs w:val="28"/>
        </w:rPr>
        <w:t>Căn cứ Nghị quyết số 24/2012/NQ-HĐND, ngày 10/10/2012 của Hội đồng nhân dân tỉnh Tây Ninh, khóa VIII, kỳ họp thứ 5 Quy định mức trích từ các khoản thu hồi phát hiện qua công tác thanh tra đã thực nộp vào ngân sách Nhà nước trên địa bàn tỉnh Tây Ninh;</w:t>
      </w:r>
    </w:p>
    <w:p w:rsidR="00D83594" w:rsidRPr="00824D39" w:rsidRDefault="00D83594" w:rsidP="00D83594">
      <w:pPr>
        <w:ind w:firstLine="720"/>
        <w:jc w:val="both"/>
        <w:rPr>
          <w:sz w:val="28"/>
          <w:szCs w:val="28"/>
        </w:rPr>
      </w:pPr>
      <w:r w:rsidRPr="00824D39">
        <w:rPr>
          <w:sz w:val="28"/>
          <w:szCs w:val="28"/>
        </w:rPr>
        <w:t>Theo đề nghị của Giám đốc Sở Tài chính tại Tờ trình số 365/TTr-STC, ngày 23 tháng 10 năm 2012,</w:t>
      </w:r>
    </w:p>
    <w:p w:rsidR="00D83594" w:rsidRDefault="00D83594" w:rsidP="00D83594">
      <w:pPr>
        <w:pStyle w:val="Heading9"/>
        <w:spacing w:before="0" w:after="0"/>
        <w:jc w:val="center"/>
        <w:rPr>
          <w:rFonts w:ascii="Times New Roman" w:hAnsi="Times New Roman"/>
          <w:b/>
          <w:bCs/>
          <w:sz w:val="28"/>
          <w:szCs w:val="28"/>
        </w:rPr>
      </w:pPr>
      <w:r w:rsidRPr="00824D39">
        <w:rPr>
          <w:rFonts w:ascii="Times New Roman" w:hAnsi="Times New Roman"/>
          <w:b/>
          <w:bCs/>
          <w:sz w:val="28"/>
          <w:szCs w:val="28"/>
        </w:rPr>
        <w:t>QUYẾT ĐỊNH:</w:t>
      </w:r>
    </w:p>
    <w:p w:rsidR="00D83594" w:rsidRPr="00824D39" w:rsidRDefault="00D83594" w:rsidP="00D83594">
      <w:pPr>
        <w:rPr>
          <w:sz w:val="10"/>
        </w:rPr>
      </w:pPr>
    </w:p>
    <w:p w:rsidR="00D83594" w:rsidRPr="00824D39" w:rsidRDefault="00D83594" w:rsidP="00D83594">
      <w:pPr>
        <w:ind w:firstLine="720"/>
        <w:jc w:val="both"/>
        <w:rPr>
          <w:sz w:val="28"/>
          <w:szCs w:val="28"/>
        </w:rPr>
      </w:pPr>
      <w:r w:rsidRPr="00824D39">
        <w:rPr>
          <w:b/>
          <w:bCs/>
          <w:sz w:val="28"/>
          <w:szCs w:val="28"/>
        </w:rPr>
        <w:t>Điều 1.</w:t>
      </w:r>
      <w:r w:rsidRPr="00824D39">
        <w:rPr>
          <w:sz w:val="28"/>
          <w:szCs w:val="28"/>
        </w:rPr>
        <w:t xml:space="preserve"> Quy định mức trích từ các khoản thu hồi phát hiện qua công tác thanh tra đã thực nộp vào ngân sách Nhà nước trên địa bàn tỉnh Tây Ninh, cụ thể như sau:</w:t>
      </w:r>
    </w:p>
    <w:p w:rsidR="00D83594" w:rsidRPr="00824D39" w:rsidRDefault="00D83594" w:rsidP="00D83594">
      <w:pPr>
        <w:ind w:left="720"/>
        <w:jc w:val="both"/>
        <w:rPr>
          <w:sz w:val="28"/>
          <w:szCs w:val="28"/>
        </w:rPr>
      </w:pPr>
      <w:r w:rsidRPr="00824D39">
        <w:rPr>
          <w:sz w:val="28"/>
          <w:szCs w:val="28"/>
        </w:rPr>
        <w:t>1. Đối với thanh tra tỉnh</w:t>
      </w:r>
    </w:p>
    <w:p w:rsidR="00D83594" w:rsidRPr="00824D39" w:rsidRDefault="00D83594" w:rsidP="00D83594">
      <w:pPr>
        <w:ind w:firstLine="720"/>
        <w:jc w:val="both"/>
        <w:rPr>
          <w:sz w:val="28"/>
          <w:szCs w:val="28"/>
        </w:rPr>
      </w:pPr>
      <w:r w:rsidRPr="00824D39">
        <w:rPr>
          <w:sz w:val="28"/>
          <w:szCs w:val="28"/>
        </w:rPr>
        <w:t>a) Được trích 30% trên tổng số tiền đã thực nộp vào ngân sách Nhà nước đối với số nộp đến 10 tỷ đồng/năm;</w:t>
      </w:r>
    </w:p>
    <w:p w:rsidR="00D83594" w:rsidRPr="00824D39" w:rsidRDefault="00D83594" w:rsidP="00D83594">
      <w:pPr>
        <w:ind w:firstLine="720"/>
        <w:jc w:val="both"/>
        <w:rPr>
          <w:sz w:val="28"/>
          <w:szCs w:val="28"/>
        </w:rPr>
      </w:pPr>
      <w:r w:rsidRPr="00824D39">
        <w:rPr>
          <w:sz w:val="28"/>
          <w:szCs w:val="28"/>
        </w:rPr>
        <w:t>b) Được trích bổ sung thêm 20% trên tổng số tiền đã thực nộp vào ngân sách Nhà nước đối với số nộp từ trên 10 tỷ đồng đến 20 tỷ đồng/năm;</w:t>
      </w:r>
    </w:p>
    <w:p w:rsidR="00D83594" w:rsidRPr="00824D39" w:rsidRDefault="00D83594" w:rsidP="00D83594">
      <w:pPr>
        <w:ind w:firstLine="720"/>
        <w:jc w:val="both"/>
        <w:rPr>
          <w:sz w:val="28"/>
          <w:szCs w:val="28"/>
        </w:rPr>
      </w:pPr>
      <w:r w:rsidRPr="00824D39">
        <w:rPr>
          <w:sz w:val="28"/>
          <w:szCs w:val="28"/>
        </w:rPr>
        <w:t>c) Được trích bổ sung thêm 10% trên tổng số tiền đã thực nộp vào ngân sách Nhà nước đối với số nộp từ trên 20 tỷ đồng/năm.</w:t>
      </w:r>
    </w:p>
    <w:p w:rsidR="00D83594" w:rsidRPr="00824D39" w:rsidRDefault="00D83594" w:rsidP="00D83594">
      <w:pPr>
        <w:ind w:firstLine="720"/>
        <w:jc w:val="both"/>
        <w:rPr>
          <w:sz w:val="28"/>
          <w:szCs w:val="28"/>
        </w:rPr>
      </w:pPr>
      <w:r w:rsidRPr="00824D39">
        <w:rPr>
          <w:sz w:val="28"/>
          <w:szCs w:val="28"/>
        </w:rPr>
        <w:t xml:space="preserve">2.  Đối với thanh tra các sở, thanh tra các huyện, thị xã </w:t>
      </w:r>
    </w:p>
    <w:p w:rsidR="00D83594" w:rsidRPr="00824D39" w:rsidRDefault="00D83594" w:rsidP="00D83594">
      <w:pPr>
        <w:ind w:firstLine="720"/>
        <w:jc w:val="both"/>
        <w:rPr>
          <w:sz w:val="28"/>
          <w:szCs w:val="28"/>
        </w:rPr>
      </w:pPr>
      <w:r w:rsidRPr="00824D39">
        <w:rPr>
          <w:sz w:val="28"/>
          <w:szCs w:val="28"/>
        </w:rPr>
        <w:lastRenderedPageBreak/>
        <w:t>a) Được trích 30% trên tổng số tiền đã thực nộp vào ngân sách Nhà nước đối với số nộp đến 1 tỷ đồng/năm;</w:t>
      </w:r>
    </w:p>
    <w:p w:rsidR="00D83594" w:rsidRPr="00824D39" w:rsidRDefault="00D83594" w:rsidP="00D83594">
      <w:pPr>
        <w:ind w:firstLine="720"/>
        <w:jc w:val="both"/>
        <w:rPr>
          <w:sz w:val="28"/>
          <w:szCs w:val="28"/>
        </w:rPr>
      </w:pPr>
      <w:r w:rsidRPr="00824D39">
        <w:rPr>
          <w:sz w:val="28"/>
          <w:szCs w:val="28"/>
        </w:rPr>
        <w:t>b) Được trích bổ sung thêm 20% trên tổng số tiền đã thực nộp vào ngân sách Nhà nước đối với số nộp từ trên 1 tỷ đồng đến 2 tỷ đồng/năm;</w:t>
      </w:r>
    </w:p>
    <w:p w:rsidR="00D83594" w:rsidRPr="00824D39" w:rsidRDefault="00D83594" w:rsidP="00D83594">
      <w:pPr>
        <w:ind w:firstLine="720"/>
        <w:jc w:val="both"/>
        <w:rPr>
          <w:sz w:val="28"/>
          <w:szCs w:val="28"/>
        </w:rPr>
      </w:pPr>
      <w:r w:rsidRPr="00824D39">
        <w:rPr>
          <w:sz w:val="28"/>
          <w:szCs w:val="28"/>
        </w:rPr>
        <w:t>c) Được trích bổ sung thêm 10% trên tổng số tiền đã thực nộp vào ngân sách Nhà nước đối với số nộp từ trên 2 tỷ đồng/năm.</w:t>
      </w:r>
    </w:p>
    <w:p w:rsidR="00D83594" w:rsidRPr="00824D39" w:rsidRDefault="00D83594" w:rsidP="00D83594">
      <w:pPr>
        <w:ind w:firstLine="741"/>
        <w:jc w:val="both"/>
        <w:rPr>
          <w:sz w:val="28"/>
          <w:szCs w:val="28"/>
        </w:rPr>
      </w:pPr>
      <w:r w:rsidRPr="00824D39">
        <w:rPr>
          <w:sz w:val="28"/>
          <w:szCs w:val="28"/>
        </w:rPr>
        <w:t xml:space="preserve">3. Các nội dung khác ngoài nội dung quy định tại khoản 1, khoản 2 Điều 1 </w:t>
      </w:r>
      <w:r w:rsidRPr="00824D39">
        <w:rPr>
          <w:spacing w:val="-6"/>
          <w:sz w:val="28"/>
          <w:szCs w:val="28"/>
        </w:rPr>
        <w:t>Quyết định này được thực hiện theo quy định tại Thông tư liên tịch số</w:t>
      </w:r>
      <w:r w:rsidRPr="00824D39">
        <w:rPr>
          <w:sz w:val="28"/>
          <w:szCs w:val="28"/>
        </w:rPr>
        <w:t xml:space="preserve"> 90/2012/TTLT-BTC-TTCP, ngày 30/5/2012 của Bộ trưởng Bộ Tài chính và Tổng Thanh tra Chính phủ.</w:t>
      </w:r>
    </w:p>
    <w:p w:rsidR="00D83594" w:rsidRPr="00824D39" w:rsidRDefault="00D83594" w:rsidP="00D83594">
      <w:pPr>
        <w:ind w:firstLine="741"/>
        <w:jc w:val="both"/>
        <w:rPr>
          <w:sz w:val="28"/>
          <w:szCs w:val="28"/>
          <w:lang w:val="pl-PL"/>
        </w:rPr>
      </w:pPr>
      <w:r w:rsidRPr="00824D39">
        <w:rPr>
          <w:sz w:val="28"/>
          <w:szCs w:val="28"/>
        </w:rPr>
        <w:t>4. Thời gian áp dụng mức trích được thực hiện kể từ ngày 15 tháng 7 năm 2012.</w:t>
      </w:r>
    </w:p>
    <w:p w:rsidR="00D83594" w:rsidRPr="00824D39" w:rsidRDefault="00D83594" w:rsidP="00D83594">
      <w:pPr>
        <w:ind w:firstLine="720"/>
        <w:jc w:val="both"/>
        <w:rPr>
          <w:sz w:val="28"/>
          <w:szCs w:val="28"/>
        </w:rPr>
      </w:pPr>
      <w:r w:rsidRPr="00824D39">
        <w:rPr>
          <w:b/>
          <w:bCs/>
          <w:sz w:val="28"/>
          <w:szCs w:val="28"/>
        </w:rPr>
        <w:t>Điều 2.</w:t>
      </w:r>
      <w:r w:rsidRPr="00824D39">
        <w:rPr>
          <w:sz w:val="28"/>
          <w:szCs w:val="28"/>
        </w:rPr>
        <w:t xml:space="preserve"> Quyết định này có hiệu lực sau 10 ngày, kể từ ngày ký. </w:t>
      </w:r>
    </w:p>
    <w:p w:rsidR="00D83594" w:rsidRPr="00824D39" w:rsidRDefault="00D83594" w:rsidP="00D83594">
      <w:pPr>
        <w:jc w:val="both"/>
        <w:rPr>
          <w:sz w:val="28"/>
          <w:szCs w:val="28"/>
        </w:rPr>
      </w:pPr>
      <w:r w:rsidRPr="00824D39">
        <w:rPr>
          <w:b/>
          <w:bCs/>
          <w:sz w:val="28"/>
          <w:szCs w:val="28"/>
        </w:rPr>
        <w:tab/>
        <w:t>Điều 3.</w:t>
      </w:r>
      <w:r w:rsidRPr="00824D39">
        <w:rPr>
          <w:sz w:val="28"/>
          <w:szCs w:val="28"/>
        </w:rPr>
        <w:t xml:space="preserve"> Giao Sở Tài chính hướng dẫn và kiểm tra việc thực hiện Quyết định này. </w:t>
      </w:r>
    </w:p>
    <w:p w:rsidR="00D83594" w:rsidRPr="00824D39" w:rsidRDefault="00D83594" w:rsidP="00D83594">
      <w:pPr>
        <w:jc w:val="both"/>
        <w:rPr>
          <w:sz w:val="28"/>
          <w:szCs w:val="28"/>
        </w:rPr>
      </w:pPr>
      <w:r w:rsidRPr="00824D39">
        <w:rPr>
          <w:b/>
          <w:bCs/>
          <w:sz w:val="28"/>
          <w:szCs w:val="28"/>
        </w:rPr>
        <w:tab/>
        <w:t>Điều 4.</w:t>
      </w:r>
      <w:r w:rsidRPr="00824D39">
        <w:rPr>
          <w:sz w:val="28"/>
          <w:szCs w:val="28"/>
        </w:rPr>
        <w:t xml:space="preserve"> Chánh Văn phòng Ủy ban nhân dân tỉnh, Giám đốc Sở Tài chính, Chánh Thanh tra tỉnh; thủ trưởng các sở, ngành có liên quan và Chủ tịch UBND các huyện, thị xã chịu trách nhiệm thi hành Quyết định này./.</w:t>
      </w:r>
    </w:p>
    <w:p w:rsidR="00D83594" w:rsidRPr="00EC2943" w:rsidRDefault="00D83594" w:rsidP="00D83594">
      <w:pPr>
        <w:jc w:val="both"/>
        <w:rPr>
          <w:sz w:val="28"/>
          <w:szCs w:val="28"/>
        </w:rPr>
      </w:pPr>
    </w:p>
    <w:tbl>
      <w:tblPr>
        <w:tblW w:w="9513" w:type="dxa"/>
        <w:tblLayout w:type="fixed"/>
        <w:tblLook w:val="01E0" w:firstRow="1" w:lastRow="1" w:firstColumn="1" w:lastColumn="1" w:noHBand="0" w:noVBand="0"/>
      </w:tblPr>
      <w:tblGrid>
        <w:gridCol w:w="4668"/>
        <w:gridCol w:w="4845"/>
      </w:tblGrid>
      <w:tr w:rsidR="00D83594" w:rsidRPr="001A7A3C" w:rsidTr="00907376">
        <w:tc>
          <w:tcPr>
            <w:tcW w:w="4668" w:type="dxa"/>
          </w:tcPr>
          <w:p w:rsidR="00D83594" w:rsidRPr="001A7A3C" w:rsidRDefault="00D83594" w:rsidP="00907376">
            <w:pPr>
              <w:jc w:val="both"/>
              <w:rPr>
                <w:sz w:val="28"/>
                <w:szCs w:val="28"/>
              </w:rPr>
            </w:pPr>
          </w:p>
        </w:tc>
        <w:tc>
          <w:tcPr>
            <w:tcW w:w="4845" w:type="dxa"/>
          </w:tcPr>
          <w:p w:rsidR="00D83594" w:rsidRPr="001A7A3C" w:rsidRDefault="00D83594" w:rsidP="00907376">
            <w:pPr>
              <w:jc w:val="center"/>
              <w:rPr>
                <w:b/>
                <w:sz w:val="28"/>
                <w:szCs w:val="28"/>
              </w:rPr>
            </w:pPr>
            <w:r w:rsidRPr="001A7A3C">
              <w:rPr>
                <w:b/>
                <w:sz w:val="28"/>
                <w:szCs w:val="28"/>
              </w:rPr>
              <w:t>TM. ỦY BAN NHÂN DÂN</w:t>
            </w:r>
          </w:p>
        </w:tc>
      </w:tr>
      <w:tr w:rsidR="00D83594" w:rsidRPr="001A7A3C" w:rsidTr="00907376">
        <w:tc>
          <w:tcPr>
            <w:tcW w:w="4668" w:type="dxa"/>
          </w:tcPr>
          <w:p w:rsidR="00D83594" w:rsidRPr="001A7A3C" w:rsidRDefault="00D83594" w:rsidP="00907376">
            <w:pPr>
              <w:tabs>
                <w:tab w:val="center" w:pos="1620"/>
                <w:tab w:val="center" w:pos="5760"/>
              </w:tabs>
              <w:jc w:val="both"/>
              <w:rPr>
                <w:sz w:val="28"/>
                <w:szCs w:val="28"/>
              </w:rPr>
            </w:pPr>
          </w:p>
        </w:tc>
        <w:tc>
          <w:tcPr>
            <w:tcW w:w="4845" w:type="dxa"/>
          </w:tcPr>
          <w:p w:rsidR="00D83594" w:rsidRPr="001A7A3C" w:rsidRDefault="00D83594" w:rsidP="00907376">
            <w:pPr>
              <w:tabs>
                <w:tab w:val="left" w:pos="1944"/>
              </w:tabs>
              <w:jc w:val="center"/>
              <w:rPr>
                <w:b/>
                <w:sz w:val="28"/>
                <w:szCs w:val="28"/>
              </w:rPr>
            </w:pPr>
            <w:r w:rsidRPr="001A7A3C">
              <w:rPr>
                <w:b/>
                <w:sz w:val="28"/>
                <w:szCs w:val="28"/>
              </w:rPr>
              <w:t>KT. CHỦ TỊCH</w:t>
            </w:r>
          </w:p>
          <w:p w:rsidR="00D83594" w:rsidRPr="001A7A3C" w:rsidRDefault="00D83594" w:rsidP="00907376">
            <w:pPr>
              <w:tabs>
                <w:tab w:val="left" w:pos="1944"/>
              </w:tabs>
              <w:jc w:val="center"/>
              <w:rPr>
                <w:b/>
                <w:sz w:val="28"/>
                <w:szCs w:val="28"/>
              </w:rPr>
            </w:pPr>
            <w:r w:rsidRPr="001A7A3C">
              <w:rPr>
                <w:b/>
                <w:sz w:val="28"/>
                <w:szCs w:val="28"/>
              </w:rPr>
              <w:t>PHÓ CHỦ TỊCH</w:t>
            </w:r>
          </w:p>
          <w:p w:rsidR="00D83594" w:rsidRPr="001A7A3C" w:rsidRDefault="00D83594" w:rsidP="00907376">
            <w:pPr>
              <w:tabs>
                <w:tab w:val="left" w:pos="1944"/>
              </w:tabs>
              <w:jc w:val="center"/>
              <w:rPr>
                <w:b/>
                <w:sz w:val="28"/>
                <w:szCs w:val="28"/>
              </w:rPr>
            </w:pPr>
            <w:r w:rsidRPr="001A7A3C">
              <w:rPr>
                <w:b/>
                <w:sz w:val="28"/>
                <w:szCs w:val="28"/>
              </w:rPr>
              <w:t>Trần Lưu Quang</w:t>
            </w:r>
          </w:p>
          <w:p w:rsidR="00D83594" w:rsidRPr="001A7A3C" w:rsidRDefault="00D83594" w:rsidP="00907376">
            <w:pPr>
              <w:jc w:val="center"/>
              <w:rPr>
                <w:b/>
                <w:sz w:val="28"/>
                <w:szCs w:val="28"/>
              </w:rPr>
            </w:pPr>
          </w:p>
          <w:p w:rsidR="00D83594" w:rsidRPr="001A7A3C" w:rsidRDefault="00D83594" w:rsidP="00907376">
            <w:pPr>
              <w:jc w:val="center"/>
              <w:rPr>
                <w:b/>
                <w:sz w:val="28"/>
                <w:szCs w:val="28"/>
              </w:rPr>
            </w:pPr>
          </w:p>
          <w:p w:rsidR="00D83594" w:rsidRPr="001A7A3C" w:rsidRDefault="00D83594" w:rsidP="00907376">
            <w:pPr>
              <w:jc w:val="center"/>
              <w:rPr>
                <w:b/>
                <w:sz w:val="28"/>
                <w:szCs w:val="28"/>
              </w:rPr>
            </w:pPr>
          </w:p>
          <w:p w:rsidR="00D83594" w:rsidRPr="001A7A3C" w:rsidRDefault="00D83594" w:rsidP="00907376">
            <w:pPr>
              <w:jc w:val="center"/>
              <w:rPr>
                <w:b/>
                <w:sz w:val="28"/>
                <w:szCs w:val="28"/>
              </w:rPr>
            </w:pPr>
          </w:p>
          <w:p w:rsidR="00D83594" w:rsidRPr="001A7A3C" w:rsidRDefault="00D83594" w:rsidP="00907376">
            <w:pPr>
              <w:jc w:val="center"/>
              <w:rPr>
                <w:b/>
                <w:sz w:val="28"/>
                <w:szCs w:val="28"/>
              </w:rPr>
            </w:pPr>
          </w:p>
          <w:p w:rsidR="00D83594" w:rsidRPr="001A7A3C" w:rsidRDefault="00D83594" w:rsidP="00907376">
            <w:pPr>
              <w:jc w:val="center"/>
              <w:rPr>
                <w:b/>
                <w:sz w:val="28"/>
                <w:szCs w:val="28"/>
              </w:rPr>
            </w:pPr>
          </w:p>
        </w:tc>
      </w:tr>
    </w:tbl>
    <w:p w:rsidR="00D83594" w:rsidRPr="00F52CE4" w:rsidRDefault="00D83594" w:rsidP="00D83594">
      <w:pPr>
        <w:jc w:val="both"/>
      </w:pPr>
    </w:p>
    <w:p w:rsidR="00D83594" w:rsidRDefault="00D83594" w:rsidP="00D83594"/>
    <w:p w:rsidR="00D83594" w:rsidRDefault="00D83594" w:rsidP="00D83594"/>
    <w:p w:rsidR="00D83594" w:rsidRDefault="00D83594" w:rsidP="00D83594"/>
    <w:p w:rsidR="00D83594" w:rsidRDefault="00D83594" w:rsidP="00D83594"/>
    <w:p w:rsidR="00D83594" w:rsidRDefault="00D83594" w:rsidP="00D83594"/>
    <w:p w:rsidR="00D83594" w:rsidRDefault="00D83594" w:rsidP="00D83594"/>
    <w:p w:rsidR="00D83594" w:rsidRDefault="00D83594" w:rsidP="00D83594"/>
    <w:p w:rsidR="00D83594" w:rsidRDefault="00D83594" w:rsidP="00D83594"/>
    <w:p w:rsidR="00D83594" w:rsidRDefault="00D83594" w:rsidP="00D83594"/>
    <w:p w:rsidR="00D83594" w:rsidRDefault="00D83594" w:rsidP="00D83594"/>
    <w:p w:rsidR="00D83594" w:rsidRDefault="00D83594" w:rsidP="00D83594"/>
    <w:p w:rsidR="00D83594" w:rsidRDefault="00D83594" w:rsidP="00D83594"/>
    <w:p w:rsidR="00D83594" w:rsidRDefault="00D83594" w:rsidP="00D83594"/>
    <w:p w:rsidR="0062031E" w:rsidRDefault="0062031E"/>
    <w:sectPr w:rsidR="0062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94"/>
    <w:rsid w:val="0062031E"/>
    <w:rsid w:val="00D8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94"/>
    <w:pPr>
      <w:spacing w:after="0" w:line="240" w:lineRule="auto"/>
    </w:pPr>
    <w:rPr>
      <w:rFonts w:eastAsia="Times New Roman" w:cs="Times New Roman"/>
      <w:sz w:val="24"/>
      <w:szCs w:val="24"/>
    </w:rPr>
  </w:style>
  <w:style w:type="paragraph" w:styleId="Heading7">
    <w:name w:val="heading 7"/>
    <w:basedOn w:val="Normal"/>
    <w:next w:val="Normal"/>
    <w:link w:val="Heading7Char"/>
    <w:qFormat/>
    <w:rsid w:val="00D83594"/>
    <w:pPr>
      <w:spacing w:before="240" w:after="60"/>
      <w:outlineLvl w:val="6"/>
    </w:pPr>
    <w:rPr>
      <w:rFonts w:ascii="Calibri" w:hAnsi="Calibri"/>
    </w:rPr>
  </w:style>
  <w:style w:type="paragraph" w:styleId="Heading9">
    <w:name w:val="heading 9"/>
    <w:basedOn w:val="Normal"/>
    <w:next w:val="Normal"/>
    <w:link w:val="Heading9Char"/>
    <w:qFormat/>
    <w:rsid w:val="00D8359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3594"/>
    <w:rPr>
      <w:rFonts w:ascii="Calibri" w:eastAsia="Times New Roman" w:hAnsi="Calibri" w:cs="Times New Roman"/>
      <w:sz w:val="24"/>
      <w:szCs w:val="24"/>
    </w:rPr>
  </w:style>
  <w:style w:type="character" w:customStyle="1" w:styleId="Heading9Char">
    <w:name w:val="Heading 9 Char"/>
    <w:basedOn w:val="DefaultParagraphFont"/>
    <w:link w:val="Heading9"/>
    <w:rsid w:val="00D83594"/>
    <w:rPr>
      <w:rFonts w:ascii="Cambria" w:eastAsia="Times New Roman" w:hAnsi="Cambria"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94"/>
    <w:pPr>
      <w:spacing w:after="0" w:line="240" w:lineRule="auto"/>
    </w:pPr>
    <w:rPr>
      <w:rFonts w:eastAsia="Times New Roman" w:cs="Times New Roman"/>
      <w:sz w:val="24"/>
      <w:szCs w:val="24"/>
    </w:rPr>
  </w:style>
  <w:style w:type="paragraph" w:styleId="Heading7">
    <w:name w:val="heading 7"/>
    <w:basedOn w:val="Normal"/>
    <w:next w:val="Normal"/>
    <w:link w:val="Heading7Char"/>
    <w:qFormat/>
    <w:rsid w:val="00D83594"/>
    <w:pPr>
      <w:spacing w:before="240" w:after="60"/>
      <w:outlineLvl w:val="6"/>
    </w:pPr>
    <w:rPr>
      <w:rFonts w:ascii="Calibri" w:hAnsi="Calibri"/>
    </w:rPr>
  </w:style>
  <w:style w:type="paragraph" w:styleId="Heading9">
    <w:name w:val="heading 9"/>
    <w:basedOn w:val="Normal"/>
    <w:next w:val="Normal"/>
    <w:link w:val="Heading9Char"/>
    <w:qFormat/>
    <w:rsid w:val="00D8359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3594"/>
    <w:rPr>
      <w:rFonts w:ascii="Calibri" w:eastAsia="Times New Roman" w:hAnsi="Calibri" w:cs="Times New Roman"/>
      <w:sz w:val="24"/>
      <w:szCs w:val="24"/>
    </w:rPr>
  </w:style>
  <w:style w:type="character" w:customStyle="1" w:styleId="Heading9Char">
    <w:name w:val="Heading 9 Char"/>
    <w:basedOn w:val="DefaultParagraphFont"/>
    <w:link w:val="Heading9"/>
    <w:rsid w:val="00D83594"/>
    <w:rPr>
      <w:rFonts w:ascii="Cambria" w:eastAsia="Times New Roman"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2012-12-06T08:26:00Z</dcterms:created>
  <dcterms:modified xsi:type="dcterms:W3CDTF">2012-12-06T08:27:00Z</dcterms:modified>
</cp:coreProperties>
</file>