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84" w:rsidRPr="00516FE9" w:rsidRDefault="00027C84" w:rsidP="00027C84">
      <w:pPr>
        <w:rPr>
          <w:b/>
          <w:sz w:val="26"/>
          <w:szCs w:val="26"/>
        </w:rPr>
      </w:pPr>
      <w:r w:rsidRPr="00516FE9">
        <w:rPr>
          <w:b/>
          <w:sz w:val="26"/>
          <w:szCs w:val="26"/>
        </w:rPr>
        <w:t xml:space="preserve">HỘI ĐỒNG NHÂN DÂN           </w:t>
      </w:r>
      <w:r>
        <w:rPr>
          <w:b/>
          <w:sz w:val="26"/>
          <w:szCs w:val="26"/>
        </w:rPr>
        <w:t xml:space="preserve">         </w:t>
      </w:r>
      <w:r w:rsidRPr="00516FE9">
        <w:rPr>
          <w:b/>
          <w:sz w:val="26"/>
          <w:szCs w:val="26"/>
        </w:rPr>
        <w:t xml:space="preserve"> CỘNG HÒA XÃ HỘI CHỦ NGHĨA VIỆT </w:t>
      </w:r>
      <w:smartTag w:uri="urn:schemas-microsoft-com:office:smarttags" w:element="country-region">
        <w:smartTag w:uri="urn:schemas-microsoft-com:office:smarttags" w:element="place">
          <w:r w:rsidRPr="00516FE9">
            <w:rPr>
              <w:b/>
              <w:sz w:val="26"/>
              <w:szCs w:val="26"/>
            </w:rPr>
            <w:t>NAM</w:t>
          </w:r>
        </w:smartTag>
      </w:smartTag>
    </w:p>
    <w:p w:rsidR="00027C84" w:rsidRPr="00516FE9" w:rsidRDefault="00027C84" w:rsidP="00027C84">
      <w:pPr>
        <w:rPr>
          <w:b/>
          <w:sz w:val="26"/>
          <w:szCs w:val="26"/>
        </w:rPr>
      </w:pPr>
      <w:r w:rsidRPr="00516FE9">
        <w:rPr>
          <w:b/>
          <w:sz w:val="26"/>
          <w:szCs w:val="26"/>
        </w:rPr>
        <w:t xml:space="preserve">     TỈNH TÂY NINH </w:t>
      </w:r>
      <w:r w:rsidRPr="00516FE9">
        <w:rPr>
          <w:b/>
          <w:sz w:val="26"/>
          <w:szCs w:val="26"/>
        </w:rPr>
        <w:tab/>
      </w:r>
      <w:r w:rsidRPr="00516FE9">
        <w:rPr>
          <w:b/>
          <w:sz w:val="26"/>
          <w:szCs w:val="26"/>
        </w:rPr>
        <w:tab/>
      </w:r>
      <w:r w:rsidRPr="00516FE9">
        <w:rPr>
          <w:b/>
          <w:sz w:val="26"/>
          <w:szCs w:val="26"/>
        </w:rPr>
        <w:tab/>
      </w:r>
      <w:r>
        <w:rPr>
          <w:b/>
          <w:sz w:val="26"/>
          <w:szCs w:val="26"/>
        </w:rPr>
        <w:t xml:space="preserve">      </w:t>
      </w:r>
      <w:r w:rsidRPr="00516FE9">
        <w:rPr>
          <w:b/>
          <w:sz w:val="26"/>
          <w:szCs w:val="26"/>
        </w:rPr>
        <w:t xml:space="preserve">   </w:t>
      </w:r>
      <w:r>
        <w:rPr>
          <w:b/>
          <w:sz w:val="26"/>
          <w:szCs w:val="26"/>
        </w:rPr>
        <w:t xml:space="preserve"> </w:t>
      </w:r>
      <w:r w:rsidRPr="00516FE9">
        <w:rPr>
          <w:b/>
          <w:sz w:val="26"/>
          <w:szCs w:val="26"/>
        </w:rPr>
        <w:t xml:space="preserve">  </w:t>
      </w:r>
      <w:r>
        <w:rPr>
          <w:b/>
          <w:sz w:val="26"/>
          <w:szCs w:val="26"/>
        </w:rPr>
        <w:t xml:space="preserve"> </w:t>
      </w:r>
      <w:r w:rsidRPr="00516FE9">
        <w:rPr>
          <w:b/>
          <w:sz w:val="26"/>
          <w:szCs w:val="26"/>
        </w:rPr>
        <w:t xml:space="preserve"> Độc lập – Tự do – Hạnh phúc</w:t>
      </w:r>
    </w:p>
    <w:p w:rsidR="00027C84" w:rsidRDefault="00027C84" w:rsidP="00027C84">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3321685</wp:posOffset>
                </wp:positionH>
                <wp:positionV relativeFrom="paragraph">
                  <wp:posOffset>16510</wp:posOffset>
                </wp:positionV>
                <wp:extent cx="2057400" cy="0"/>
                <wp:effectExtent l="6985" t="11430" r="1206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1.3pt" to="423.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tUeFF2wAAAAcBAAAPAAAAZHJzL2Rvd25yZXYueG1sTI7BTsMwEETv&#10;SPyDtUhcKuo0hVKFOBUCcuNCAXHdxksSEa/T2G0DX9+lFzg+zWjm5avRdWpPQ2g9G5hNE1DElbct&#10;1wbeXsurJagQkS12nsnANwVYFednOWbWH/iF9utYKxnhkKGBJsY+0zpUDTkMU98TS/bpB4dRcKi1&#10;HfAg467TaZIstMOW5aHBnh4aqr7WO2cglO+0LX8m1ST5mNee0u3j8xMac3kx3t+BijTGvzL86os6&#10;FOK08Tu2QXUGbtL5TKoG0gUoyZfXt8KbE+si1//9iyMAAAD//wMAUEsBAi0AFAAGAAgAAAAhALaD&#10;OJL+AAAA4QEAABMAAAAAAAAAAAAAAAAAAAAAAFtDb250ZW50X1R5cGVzXS54bWxQSwECLQAUAAYA&#10;CAAAACEAOP0h/9YAAACUAQAACwAAAAAAAAAAAAAAAAAvAQAAX3JlbHMvLnJlbHNQSwECLQAUAAYA&#10;CAAAACEAhkfnLB0CAAA2BAAADgAAAAAAAAAAAAAAAAAuAgAAZHJzL2Uyb0RvYy54bWxQSwECLQAU&#10;AAYACAAAACEAbVHhRdsAAAAHAQAADwAAAAAAAAAAAAAAAAB3BAAAZHJzL2Rvd25yZXYueG1sUEsF&#10;BgAAAAAEAAQA8wAAAH8FA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15240</wp:posOffset>
                </wp:positionV>
                <wp:extent cx="915035" cy="0"/>
                <wp:effectExtent l="13970"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1.2pt" to="10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KGw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Eim6ZPU4zo4EpIMeQZ6/wnrjsUjBJLoYJqpCCnF+cD&#10;D1IMIeFY6Y2QMnZeKtQD9nQyjQlOS8GCM4Q5e9hX0qITCbMTv1gUeB7DrD4qFsFaTtj6Znsi5NWG&#10;y6UKeFAJ0LlZ1+H4sUgX6/l6no/yyWw9ytO6Hn3cVPlotsk+TOunuqrq7GegluVFKxjjKrAbBjXL&#10;/24Qbk/mOmL3Ub3LkLxFj3oB2eEfScdWhu5d52Cv2WVrhxbDbMbg2zsKw/+4B/vxta9+AQAA//8D&#10;AFBLAwQUAAYACAAAACEAleb0ANsAAAAGAQAADwAAAGRycy9kb3ducmV2LnhtbEyPzU7DMBCE70i8&#10;g7VIXCpqN/wUhTgVAnLjQgFx3cZLEhGv09htA0/PwgWOoxnNfFOsJt+rPY2xC2xhMTegiOvgOm4s&#10;vDxXZ9egYkJ22AcmC58UYVUeHxWYu3DgJ9qvU6OkhGOOFtqUhlzrWLfkMc7DQCzeexg9JpFjo92I&#10;Byn3vc6MudIeO5aFFge6a6n+WO+8hVi90rb6mtUz83beBMq2948PaO3pyXR7AyrRlP7C8IMv6FAK&#10;0ybs2EXVW7hcLiVpIbsAJXZmFvJk86t1Wej/+OU3AAAA//8DAFBLAQItABQABgAIAAAAIQC2gziS&#10;/gAAAOEBAAATAAAAAAAAAAAAAAAAAAAAAABbQ29udGVudF9UeXBlc10ueG1sUEsBAi0AFAAGAAgA&#10;AAAhADj9If/WAAAAlAEAAAsAAAAAAAAAAAAAAAAALwEAAF9yZWxzLy5yZWxzUEsBAi0AFAAGAAgA&#10;AAAhAOX8mAobAgAANQQAAA4AAAAAAAAAAAAAAAAALgIAAGRycy9lMm9Eb2MueG1sUEsBAi0AFAAG&#10;AAgAAAAhAJXm9ADbAAAABgEAAA8AAAAAAAAAAAAAAAAAdQQAAGRycy9kb3ducmV2LnhtbFBLBQYA&#10;AAAABAAEAPMAAAB9BQAAAAA=&#10;"/>
            </w:pict>
          </mc:Fallback>
        </mc:AlternateContent>
      </w:r>
    </w:p>
    <w:p w:rsidR="00027C84" w:rsidRPr="00516FE9" w:rsidRDefault="00027C84" w:rsidP="00027C84">
      <w:pPr>
        <w:rPr>
          <w:sz w:val="28"/>
          <w:szCs w:val="28"/>
        </w:rPr>
      </w:pPr>
      <w:r w:rsidRPr="00516FE9">
        <w:rPr>
          <w:sz w:val="28"/>
          <w:szCs w:val="28"/>
        </w:rPr>
        <w:t xml:space="preserve"> Số: </w:t>
      </w:r>
      <w:bookmarkStart w:id="0" w:name="_GoBack"/>
      <w:r w:rsidRPr="00516FE9">
        <w:rPr>
          <w:sz w:val="28"/>
          <w:szCs w:val="28"/>
        </w:rPr>
        <w:t xml:space="preserve">18/2012/NQ-HĐND </w:t>
      </w:r>
      <w:bookmarkEnd w:id="0"/>
      <w:r w:rsidRPr="00516FE9">
        <w:rPr>
          <w:sz w:val="28"/>
          <w:szCs w:val="28"/>
        </w:rPr>
        <w:tab/>
      </w:r>
      <w:r w:rsidRPr="00516FE9">
        <w:rPr>
          <w:sz w:val="28"/>
          <w:szCs w:val="28"/>
        </w:rPr>
        <w:tab/>
        <w:t xml:space="preserve"> </w:t>
      </w:r>
      <w:r>
        <w:rPr>
          <w:sz w:val="28"/>
          <w:szCs w:val="28"/>
        </w:rPr>
        <w:t xml:space="preserve">     </w:t>
      </w:r>
      <w:r w:rsidRPr="00516FE9">
        <w:rPr>
          <w:sz w:val="28"/>
          <w:szCs w:val="28"/>
        </w:rPr>
        <w:t xml:space="preserve">   </w:t>
      </w:r>
      <w:r w:rsidRPr="00516FE9">
        <w:rPr>
          <w:i/>
          <w:sz w:val="28"/>
          <w:szCs w:val="28"/>
        </w:rPr>
        <w:t>Tây Ninh, ngày 10 tháng  10  năm 2012</w:t>
      </w:r>
    </w:p>
    <w:p w:rsidR="00027C84" w:rsidRPr="00516FE9" w:rsidRDefault="00027C84" w:rsidP="00027C84">
      <w:pPr>
        <w:outlineLvl w:val="0"/>
        <w:rPr>
          <w:b/>
          <w:sz w:val="28"/>
          <w:szCs w:val="28"/>
        </w:rPr>
      </w:pPr>
    </w:p>
    <w:p w:rsidR="00027C84" w:rsidRPr="00516FE9" w:rsidRDefault="00027C84" w:rsidP="00027C84">
      <w:pPr>
        <w:jc w:val="center"/>
        <w:outlineLvl w:val="0"/>
        <w:rPr>
          <w:b/>
          <w:sz w:val="28"/>
          <w:szCs w:val="28"/>
        </w:rPr>
      </w:pPr>
      <w:r w:rsidRPr="00516FE9">
        <w:rPr>
          <w:b/>
          <w:sz w:val="28"/>
          <w:szCs w:val="28"/>
        </w:rPr>
        <w:t>NGHỊ QUYẾT</w:t>
      </w:r>
    </w:p>
    <w:p w:rsidR="00027C84" w:rsidRPr="00516FE9" w:rsidRDefault="00027C84" w:rsidP="00027C84">
      <w:pPr>
        <w:jc w:val="center"/>
        <w:outlineLvl w:val="0"/>
        <w:rPr>
          <w:b/>
          <w:sz w:val="28"/>
          <w:szCs w:val="28"/>
        </w:rPr>
      </w:pPr>
      <w:r w:rsidRPr="00516FE9">
        <w:rPr>
          <w:b/>
          <w:sz w:val="28"/>
          <w:szCs w:val="28"/>
        </w:rPr>
        <w:t>Quy định chế độ bồi dưỡng đối với cán bộ, công chức làm công tác</w:t>
      </w:r>
    </w:p>
    <w:p w:rsidR="00027C84" w:rsidRPr="00516FE9" w:rsidRDefault="00027C84" w:rsidP="00027C84">
      <w:pPr>
        <w:jc w:val="center"/>
        <w:outlineLvl w:val="0"/>
        <w:rPr>
          <w:b/>
          <w:sz w:val="28"/>
          <w:szCs w:val="28"/>
        </w:rPr>
      </w:pPr>
      <w:r w:rsidRPr="00516FE9">
        <w:rPr>
          <w:b/>
          <w:sz w:val="28"/>
          <w:szCs w:val="28"/>
        </w:rPr>
        <w:t>tiếp công dân, xử lý đơn thư khiếu nại, tố cáo, kiến nghị, phản ánh</w:t>
      </w:r>
    </w:p>
    <w:p w:rsidR="00027C84" w:rsidRPr="00516FE9" w:rsidRDefault="00027C84" w:rsidP="00027C84">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2366010</wp:posOffset>
                </wp:positionH>
                <wp:positionV relativeFrom="paragraph">
                  <wp:posOffset>16510</wp:posOffset>
                </wp:positionV>
                <wp:extent cx="13716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1.3pt" to="29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C/mPt32gAAAAcBAAAPAAAAZHJzL2Rvd25yZXYueG1sTI7BTsMwEETv&#10;SPyDtUhcKuqQihKFOBUCcuNCAXHdxksSEa/T2G0DX8+2FzjtjGY0+4rV5Hq1pzF0ng1czxNQxLW3&#10;HTcG3l6rqwxUiMgWe89k4JsCrMrzswJz6w/8Qvt1bJSMcMjRQBvjkGsd6pYchrkfiCX79KPDKHZs&#10;tB3xIOOu12mSLLXDjuVDiwM9tFR/rXfOQKjeaVv9zOpZ8rFoPKXbx+cnNObyYrq/AxVpin9lOOIL&#10;OpTCtPE7tkH1Bha36VKqBo5H8pssE7E5eV0W+j9/+QsAAP//AwBQSwECLQAUAAYACAAAACEAtoM4&#10;kv4AAADhAQAAEwAAAAAAAAAAAAAAAAAAAAAAW0NvbnRlbnRfVHlwZXNdLnhtbFBLAQItABQABgAI&#10;AAAAIQA4/SH/1gAAAJQBAAALAAAAAAAAAAAAAAAAAC8BAABfcmVscy8ucmVsc1BLAQItABQABgAI&#10;AAAAIQDKdfl7HQIAADYEAAAOAAAAAAAAAAAAAAAAAC4CAABkcnMvZTJvRG9jLnhtbFBLAQItABQA&#10;BgAIAAAAIQC/mPt32gAAAAcBAAAPAAAAAAAAAAAAAAAAAHcEAABkcnMvZG93bnJldi54bWxQSwUG&#10;AAAAAAQABADzAAAAfgUAAAAA&#10;"/>
            </w:pict>
          </mc:Fallback>
        </mc:AlternateContent>
      </w:r>
    </w:p>
    <w:p w:rsidR="00027C84" w:rsidRPr="00516FE9" w:rsidRDefault="00027C84" w:rsidP="00027C84">
      <w:pPr>
        <w:jc w:val="center"/>
        <w:outlineLvl w:val="0"/>
        <w:rPr>
          <w:b/>
          <w:sz w:val="28"/>
          <w:szCs w:val="28"/>
        </w:rPr>
      </w:pPr>
      <w:r w:rsidRPr="00516FE9">
        <w:rPr>
          <w:b/>
          <w:sz w:val="28"/>
          <w:szCs w:val="28"/>
        </w:rPr>
        <w:t>HỘI ĐỒNG NHÂN DÂN TỈNH TÂY NINH</w:t>
      </w:r>
    </w:p>
    <w:p w:rsidR="00027C84" w:rsidRPr="00516FE9" w:rsidRDefault="00027C84" w:rsidP="00027C84">
      <w:pPr>
        <w:jc w:val="center"/>
        <w:outlineLvl w:val="0"/>
        <w:rPr>
          <w:b/>
          <w:sz w:val="28"/>
          <w:szCs w:val="28"/>
        </w:rPr>
      </w:pPr>
      <w:r w:rsidRPr="00516FE9">
        <w:rPr>
          <w:b/>
          <w:sz w:val="28"/>
          <w:szCs w:val="28"/>
        </w:rPr>
        <w:t xml:space="preserve"> KHÓA VIII, KỲ HỌP THỨ 5</w:t>
      </w:r>
    </w:p>
    <w:p w:rsidR="00027C84" w:rsidRPr="00D86B67" w:rsidRDefault="00027C84" w:rsidP="00027C84">
      <w:pPr>
        <w:rPr>
          <w:sz w:val="20"/>
          <w:szCs w:val="28"/>
        </w:rPr>
      </w:pPr>
    </w:p>
    <w:p w:rsidR="00027C84" w:rsidRPr="00516FE9" w:rsidRDefault="00027C84" w:rsidP="00027C84">
      <w:pPr>
        <w:ind w:firstLine="720"/>
        <w:jc w:val="both"/>
        <w:rPr>
          <w:sz w:val="28"/>
          <w:szCs w:val="28"/>
        </w:rPr>
      </w:pPr>
      <w:r w:rsidRPr="00516FE9">
        <w:rPr>
          <w:sz w:val="28"/>
          <w:szCs w:val="28"/>
        </w:rPr>
        <w:t>Căn cứ Luật T</w:t>
      </w:r>
      <w:r>
        <w:rPr>
          <w:sz w:val="28"/>
          <w:szCs w:val="28"/>
        </w:rPr>
        <w:t>ổ chức Hội đồng nhân dân và Ủy b</w:t>
      </w:r>
      <w:r w:rsidRPr="00516FE9">
        <w:rPr>
          <w:sz w:val="28"/>
          <w:szCs w:val="28"/>
        </w:rPr>
        <w:t>an nhân dân ngày 26 tháng 11 năm 2003;</w:t>
      </w:r>
    </w:p>
    <w:p w:rsidR="00027C84" w:rsidRPr="00516FE9" w:rsidRDefault="00027C84" w:rsidP="00027C84">
      <w:pPr>
        <w:ind w:firstLine="720"/>
        <w:jc w:val="both"/>
        <w:rPr>
          <w:sz w:val="28"/>
          <w:szCs w:val="28"/>
        </w:rPr>
      </w:pPr>
      <w:r w:rsidRPr="00516FE9">
        <w:rPr>
          <w:sz w:val="28"/>
          <w:szCs w:val="28"/>
        </w:rPr>
        <w:t xml:space="preserve">Căn cứ Luật Ngân sách </w:t>
      </w:r>
      <w:r>
        <w:rPr>
          <w:sz w:val="28"/>
          <w:szCs w:val="28"/>
        </w:rPr>
        <w:t>N</w:t>
      </w:r>
      <w:r w:rsidRPr="00516FE9">
        <w:rPr>
          <w:sz w:val="28"/>
          <w:szCs w:val="28"/>
        </w:rPr>
        <w:t>hà nước ngày 16 tháng 12 năm 2002;</w:t>
      </w:r>
    </w:p>
    <w:p w:rsidR="00027C84" w:rsidRPr="00516FE9" w:rsidRDefault="00027C84" w:rsidP="00027C84">
      <w:pPr>
        <w:ind w:firstLine="720"/>
        <w:jc w:val="both"/>
        <w:rPr>
          <w:sz w:val="28"/>
          <w:szCs w:val="28"/>
        </w:rPr>
      </w:pPr>
      <w:r w:rsidRPr="00516FE9">
        <w:rPr>
          <w:sz w:val="28"/>
          <w:szCs w:val="28"/>
        </w:rPr>
        <w:t>Căn cứ Luật Khiếu nại ngày 11 tháng 11 năm 2011;</w:t>
      </w:r>
    </w:p>
    <w:p w:rsidR="00027C84" w:rsidRPr="00516FE9" w:rsidRDefault="00027C84" w:rsidP="00027C84">
      <w:pPr>
        <w:ind w:firstLine="720"/>
        <w:jc w:val="both"/>
        <w:rPr>
          <w:sz w:val="28"/>
          <w:szCs w:val="28"/>
        </w:rPr>
      </w:pPr>
      <w:r w:rsidRPr="00516FE9">
        <w:rPr>
          <w:sz w:val="28"/>
          <w:szCs w:val="28"/>
        </w:rPr>
        <w:t>Căn cứ Luật Tố cáo ngày 11 tháng 11 năm 2011;</w:t>
      </w:r>
    </w:p>
    <w:p w:rsidR="00027C84" w:rsidRPr="00516FE9" w:rsidRDefault="00027C84" w:rsidP="00027C84">
      <w:pPr>
        <w:ind w:firstLine="720"/>
        <w:jc w:val="both"/>
        <w:rPr>
          <w:sz w:val="28"/>
          <w:szCs w:val="28"/>
        </w:rPr>
      </w:pPr>
      <w:r w:rsidRPr="00516FE9">
        <w:rPr>
          <w:sz w:val="28"/>
          <w:szCs w:val="28"/>
        </w:rPr>
        <w:t>Căn cứ Nghị định số 60/2003/NĐ-CP</w:t>
      </w:r>
      <w:r>
        <w:rPr>
          <w:sz w:val="28"/>
          <w:szCs w:val="28"/>
        </w:rPr>
        <w:t>,</w:t>
      </w:r>
      <w:r w:rsidRPr="00516FE9">
        <w:rPr>
          <w:sz w:val="28"/>
          <w:szCs w:val="28"/>
        </w:rPr>
        <w:t xml:space="preserve"> ngày 06 tháng 6 năm 2003 của Chính phủ Quy định chi tiết và hướng dẫn thi hành Luật Ngân sách Nhà nước năm 2002;</w:t>
      </w:r>
    </w:p>
    <w:p w:rsidR="00027C84" w:rsidRPr="00516FE9" w:rsidRDefault="00027C84" w:rsidP="00027C84">
      <w:pPr>
        <w:ind w:firstLine="720"/>
        <w:jc w:val="both"/>
        <w:rPr>
          <w:sz w:val="28"/>
          <w:szCs w:val="28"/>
        </w:rPr>
      </w:pPr>
      <w:r w:rsidRPr="00516FE9">
        <w:rPr>
          <w:sz w:val="28"/>
          <w:szCs w:val="28"/>
        </w:rPr>
        <w:t>Căn cứ Quyết định số 858/QĐ-TTg</w:t>
      </w:r>
      <w:r>
        <w:rPr>
          <w:sz w:val="28"/>
          <w:szCs w:val="28"/>
        </w:rPr>
        <w:t>,</w:t>
      </w:r>
      <w:r w:rsidRPr="00516FE9">
        <w:rPr>
          <w:sz w:val="28"/>
          <w:szCs w:val="28"/>
        </w:rPr>
        <w:t xml:space="preserve"> ngày 14 tháng 6 năm 2010 của Thủ tướng Chính phủ phê duyệt Đề án Đổi mới công tác tiếp dân; </w:t>
      </w:r>
    </w:p>
    <w:p w:rsidR="00027C84" w:rsidRPr="00516FE9" w:rsidRDefault="00027C84" w:rsidP="00027C84">
      <w:pPr>
        <w:ind w:firstLine="720"/>
        <w:jc w:val="both"/>
        <w:rPr>
          <w:sz w:val="28"/>
          <w:szCs w:val="28"/>
        </w:rPr>
      </w:pPr>
      <w:r w:rsidRPr="00516FE9">
        <w:rPr>
          <w:sz w:val="28"/>
          <w:szCs w:val="28"/>
        </w:rPr>
        <w:t>Căn cứ Thông tư</w:t>
      </w:r>
      <w:r>
        <w:rPr>
          <w:sz w:val="28"/>
          <w:szCs w:val="28"/>
        </w:rPr>
        <w:t xml:space="preserve"> liên tịch số 46/2012/TTLT-BTC-</w:t>
      </w:r>
      <w:r w:rsidRPr="00516FE9">
        <w:rPr>
          <w:sz w:val="28"/>
          <w:szCs w:val="28"/>
        </w:rPr>
        <w:t>TTCP</w:t>
      </w:r>
      <w:r>
        <w:rPr>
          <w:sz w:val="28"/>
          <w:szCs w:val="28"/>
        </w:rPr>
        <w:t>,</w:t>
      </w:r>
      <w:r w:rsidRPr="00516FE9">
        <w:rPr>
          <w:sz w:val="28"/>
          <w:szCs w:val="28"/>
        </w:rPr>
        <w:t xml:space="preserve"> ngày 16 tháng 3 năm 2012 của Bộ trưởng Bộ Tài chính và Tổng Thanh tra Chính phủ;</w:t>
      </w:r>
    </w:p>
    <w:p w:rsidR="00027C84" w:rsidRPr="00516FE9" w:rsidRDefault="00027C84" w:rsidP="00027C84">
      <w:pPr>
        <w:ind w:firstLine="720"/>
        <w:jc w:val="both"/>
        <w:rPr>
          <w:iCs/>
          <w:sz w:val="28"/>
          <w:szCs w:val="28"/>
        </w:rPr>
      </w:pPr>
      <w:r w:rsidRPr="00516FE9">
        <w:rPr>
          <w:sz w:val="28"/>
          <w:szCs w:val="28"/>
        </w:rPr>
        <w:t>Sau khi xem xét Tờ trình số 2102/TTr-UBND</w:t>
      </w:r>
      <w:r>
        <w:rPr>
          <w:sz w:val="28"/>
          <w:szCs w:val="28"/>
        </w:rPr>
        <w:t>,</w:t>
      </w:r>
      <w:r w:rsidRPr="00516FE9">
        <w:rPr>
          <w:sz w:val="28"/>
          <w:szCs w:val="28"/>
        </w:rPr>
        <w:t xml:space="preserve"> ngày 27 tháng 9 năm 2012 của Ủy ban nhân dân tỉnh Tây Ninh về chế độ bồi dưỡng đối với cán bộ, công chức làm công tác tiếp công dân, xử lý đơn thư khiếu nại, tố cáo, kiến nghị, phản ánh; B</w:t>
      </w:r>
      <w:r w:rsidRPr="00516FE9">
        <w:rPr>
          <w:iCs/>
          <w:sz w:val="28"/>
          <w:szCs w:val="28"/>
        </w:rPr>
        <w:t xml:space="preserve">áo cáo thẩm tra của Ban Pháp chế Hội đồng nhân dân </w:t>
      </w:r>
      <w:r>
        <w:rPr>
          <w:iCs/>
          <w:sz w:val="28"/>
          <w:szCs w:val="28"/>
        </w:rPr>
        <w:t>t</w:t>
      </w:r>
      <w:r w:rsidRPr="00516FE9">
        <w:rPr>
          <w:iCs/>
          <w:sz w:val="28"/>
          <w:szCs w:val="28"/>
        </w:rPr>
        <w:t xml:space="preserve">ỉnh và ý kiến của các đại biểu Hội đồng nhân dân </w:t>
      </w:r>
      <w:r>
        <w:rPr>
          <w:iCs/>
          <w:sz w:val="28"/>
          <w:szCs w:val="28"/>
        </w:rPr>
        <w:t>t</w:t>
      </w:r>
      <w:r w:rsidRPr="00516FE9">
        <w:rPr>
          <w:iCs/>
          <w:sz w:val="28"/>
          <w:szCs w:val="28"/>
        </w:rPr>
        <w:t xml:space="preserve">ỉnh, </w:t>
      </w:r>
    </w:p>
    <w:p w:rsidR="00027C84" w:rsidRPr="00516FE9" w:rsidRDefault="00027C84" w:rsidP="00027C84">
      <w:pPr>
        <w:jc w:val="both"/>
        <w:rPr>
          <w:bCs/>
          <w:sz w:val="12"/>
          <w:szCs w:val="16"/>
        </w:rPr>
      </w:pPr>
    </w:p>
    <w:p w:rsidR="00027C84" w:rsidRPr="00516FE9" w:rsidRDefault="00027C84" w:rsidP="00027C84">
      <w:pPr>
        <w:jc w:val="center"/>
        <w:outlineLvl w:val="0"/>
        <w:rPr>
          <w:b/>
          <w:bCs/>
          <w:sz w:val="28"/>
          <w:szCs w:val="28"/>
        </w:rPr>
      </w:pPr>
      <w:r w:rsidRPr="00516FE9">
        <w:rPr>
          <w:b/>
          <w:bCs/>
          <w:sz w:val="28"/>
          <w:szCs w:val="28"/>
        </w:rPr>
        <w:t>QUYẾT NGHỊ:</w:t>
      </w:r>
    </w:p>
    <w:p w:rsidR="00027C84" w:rsidRPr="00516FE9" w:rsidRDefault="00027C84" w:rsidP="00027C84">
      <w:pPr>
        <w:ind w:firstLine="720"/>
        <w:rPr>
          <w:sz w:val="12"/>
          <w:szCs w:val="28"/>
        </w:rPr>
      </w:pPr>
    </w:p>
    <w:p w:rsidR="00027C84" w:rsidRPr="00516FE9" w:rsidRDefault="00027C84" w:rsidP="00027C84">
      <w:pPr>
        <w:ind w:firstLine="720"/>
        <w:jc w:val="both"/>
        <w:rPr>
          <w:sz w:val="28"/>
          <w:szCs w:val="28"/>
        </w:rPr>
      </w:pPr>
      <w:r w:rsidRPr="00F13E0F">
        <w:rPr>
          <w:b/>
          <w:sz w:val="28"/>
          <w:szCs w:val="28"/>
        </w:rPr>
        <w:t>Điều 1.</w:t>
      </w:r>
      <w:r w:rsidRPr="00516FE9">
        <w:rPr>
          <w:sz w:val="28"/>
          <w:szCs w:val="28"/>
        </w:rPr>
        <w:t xml:space="preserve"> Thống nhất thông qua chế độ bồi dưỡng đối với cán bộ, công chức làm công tác tiếp công dân, xử lý đơn thư khiếu nại, tố cáo, kiến nghị, phản ánh như sau:</w:t>
      </w:r>
    </w:p>
    <w:p w:rsidR="00027C84" w:rsidRPr="00516FE9" w:rsidRDefault="00027C84" w:rsidP="00027C84">
      <w:pPr>
        <w:ind w:firstLine="720"/>
        <w:jc w:val="both"/>
        <w:rPr>
          <w:sz w:val="28"/>
          <w:szCs w:val="28"/>
        </w:rPr>
      </w:pPr>
      <w:r w:rsidRPr="00516FE9">
        <w:rPr>
          <w:sz w:val="28"/>
          <w:szCs w:val="28"/>
        </w:rPr>
        <w:t>1. Phạm vi áp dụng</w:t>
      </w:r>
    </w:p>
    <w:p w:rsidR="00027C84" w:rsidRPr="00516FE9" w:rsidRDefault="00027C84" w:rsidP="00027C84">
      <w:pPr>
        <w:ind w:firstLine="720"/>
        <w:jc w:val="both"/>
        <w:rPr>
          <w:sz w:val="28"/>
          <w:szCs w:val="28"/>
        </w:rPr>
      </w:pPr>
      <w:r w:rsidRPr="00516FE9">
        <w:rPr>
          <w:sz w:val="28"/>
          <w:szCs w:val="28"/>
        </w:rPr>
        <w:t>a) Trụ sở tiếp công dân của tỉnh hoặc địa điểm tiếp công dân của cấp huyện, cấp xã;</w:t>
      </w:r>
    </w:p>
    <w:p w:rsidR="00027C84" w:rsidRPr="00516FE9" w:rsidRDefault="00027C84" w:rsidP="00027C84">
      <w:pPr>
        <w:jc w:val="both"/>
        <w:rPr>
          <w:sz w:val="28"/>
          <w:szCs w:val="28"/>
        </w:rPr>
      </w:pPr>
      <w:r w:rsidRPr="00516FE9">
        <w:rPr>
          <w:sz w:val="28"/>
          <w:szCs w:val="28"/>
        </w:rPr>
        <w:tab/>
        <w:t xml:space="preserve">b) Trụ sở cơ quan các sở, ban, ngành tỉnh. </w:t>
      </w:r>
    </w:p>
    <w:p w:rsidR="00027C84" w:rsidRPr="00516FE9" w:rsidRDefault="00027C84" w:rsidP="00027C84">
      <w:pPr>
        <w:jc w:val="both"/>
        <w:rPr>
          <w:sz w:val="28"/>
          <w:szCs w:val="28"/>
        </w:rPr>
      </w:pPr>
      <w:r w:rsidRPr="00516FE9">
        <w:rPr>
          <w:sz w:val="28"/>
          <w:szCs w:val="28"/>
        </w:rPr>
        <w:tab/>
        <w:t>2. Đối tượng áp dụng và mức chi bồi dưỡng.</w:t>
      </w:r>
    </w:p>
    <w:p w:rsidR="00027C84" w:rsidRPr="00516FE9" w:rsidRDefault="00027C84" w:rsidP="00027C84">
      <w:pPr>
        <w:jc w:val="both"/>
        <w:rPr>
          <w:sz w:val="28"/>
          <w:szCs w:val="28"/>
        </w:rPr>
      </w:pPr>
      <w:r w:rsidRPr="00516FE9">
        <w:rPr>
          <w:sz w:val="28"/>
          <w:szCs w:val="28"/>
        </w:rPr>
        <w:tab/>
        <w:t xml:space="preserve">a) Lãnh đạo các cơ quan (Tỉnh ủy, Hội đồng nhân dân, UBND </w:t>
      </w:r>
      <w:r>
        <w:rPr>
          <w:sz w:val="28"/>
          <w:szCs w:val="28"/>
        </w:rPr>
        <w:t>t</w:t>
      </w:r>
      <w:r w:rsidRPr="00516FE9">
        <w:rPr>
          <w:sz w:val="28"/>
          <w:szCs w:val="28"/>
        </w:rPr>
        <w:t xml:space="preserve">ỉnh) tiếp công dân định kỳ, đột xuất; cán bộ, công chức được lãnh đạo các cơ quan tỉnh mời tham gia tiếp </w:t>
      </w:r>
      <w:r w:rsidRPr="00516FE9">
        <w:rPr>
          <w:sz w:val="28"/>
          <w:szCs w:val="28"/>
        </w:rPr>
        <w:lastRenderedPageBreak/>
        <w:t xml:space="preserve">công dân tại trụ sở tiếp công dân hoặc địa điểm tiếp công dân thì mức bồi dưỡng là 140.000 đồng/ngày/người. </w:t>
      </w:r>
    </w:p>
    <w:p w:rsidR="00027C84" w:rsidRPr="00516FE9" w:rsidRDefault="00027C84" w:rsidP="00027C84">
      <w:pPr>
        <w:jc w:val="both"/>
        <w:rPr>
          <w:sz w:val="28"/>
          <w:szCs w:val="28"/>
        </w:rPr>
      </w:pPr>
      <w:r w:rsidRPr="00516FE9">
        <w:rPr>
          <w:sz w:val="28"/>
          <w:szCs w:val="28"/>
        </w:rPr>
        <w:tab/>
        <w:t xml:space="preserve">b) Lãnh đạo các sở, ban, ngành tỉnh và các huyện, thị tiếp công dân định kỳ, đột xuất; cán bộ, công chức được lãnh đạo các sở, ban, ngành tỉnh mời tham gia tiếp công dân tại trụ sở cơ quan hoặc địa điểm tiếp công dân thì mức bồi dưỡng là 100.000 đồng/ngày/người.  </w:t>
      </w:r>
    </w:p>
    <w:p w:rsidR="00027C84" w:rsidRPr="00516FE9" w:rsidRDefault="00027C84" w:rsidP="00027C84">
      <w:pPr>
        <w:jc w:val="both"/>
        <w:rPr>
          <w:sz w:val="28"/>
          <w:szCs w:val="28"/>
        </w:rPr>
      </w:pPr>
      <w:r w:rsidRPr="00516FE9">
        <w:rPr>
          <w:sz w:val="28"/>
          <w:szCs w:val="28"/>
        </w:rPr>
        <w:tab/>
        <w:t>c) Lãnh đạo các cơ quan cấp xã tiếp công dân định kỳ, đột xuất tại địa điểm tiếp công dân của cấp xã được bồi dưỡng mức 80.000 đồng/ngày/người.</w:t>
      </w:r>
      <w:r w:rsidRPr="00516FE9">
        <w:rPr>
          <w:i/>
          <w:sz w:val="28"/>
          <w:szCs w:val="28"/>
        </w:rPr>
        <w:t xml:space="preserve"> </w:t>
      </w:r>
    </w:p>
    <w:p w:rsidR="00027C84" w:rsidRPr="00516FE9" w:rsidRDefault="00027C84" w:rsidP="00027C84">
      <w:pPr>
        <w:ind w:firstLine="720"/>
        <w:jc w:val="both"/>
        <w:rPr>
          <w:sz w:val="28"/>
          <w:szCs w:val="28"/>
        </w:rPr>
      </w:pPr>
      <w:r w:rsidRPr="00516FE9">
        <w:rPr>
          <w:sz w:val="28"/>
          <w:szCs w:val="28"/>
        </w:rPr>
        <w:t xml:space="preserve">d) Cán bộ, công chức, sỹ quan, hạ sỹ quan và chiến sỹ trong lực lượng vũ trang, cán bộ dân phòng, y tế, giao thông và các lực lượng khác khi được cấp có thẩm quyền giao nhiệm vụ hoặc phân công phối hợp làm nhiệm vụ tiếp công dân, giữ gìn an ninh, trật tự, bảo đảm y tế tại trụ sở tiếp công dân hoặc địa điểm tiếp công dân; </w:t>
      </w:r>
      <w:r>
        <w:rPr>
          <w:sz w:val="28"/>
          <w:szCs w:val="28"/>
        </w:rPr>
        <w:t>c</w:t>
      </w:r>
      <w:r w:rsidRPr="00516FE9">
        <w:rPr>
          <w:sz w:val="28"/>
          <w:szCs w:val="28"/>
        </w:rPr>
        <w:t>án bộ, công chức được cấp có thẩm quyền giao nhiệm vụ chuyên trách xử lý đơn thư khiếu nại, tố cáo, kiến nghị, phản ánh: Được bồi dưỡng mức 50.000 đồng/ngày/người.</w:t>
      </w:r>
    </w:p>
    <w:p w:rsidR="00027C84" w:rsidRPr="00516FE9" w:rsidRDefault="00027C84" w:rsidP="00027C84">
      <w:pPr>
        <w:ind w:firstLine="720"/>
        <w:jc w:val="both"/>
        <w:rPr>
          <w:sz w:val="28"/>
          <w:szCs w:val="28"/>
        </w:rPr>
      </w:pPr>
      <w:r w:rsidRPr="00516FE9">
        <w:rPr>
          <w:sz w:val="28"/>
          <w:szCs w:val="28"/>
        </w:rPr>
        <w:t xml:space="preserve">Cán bộ, công chức được quy định tại khoản a, b, c nêu trên nếu đã có hưởng phụ cấp trách nhiệm theo nghề thanh tra thì mức bồi dưỡng bằng 50% các mức nêu trên. </w:t>
      </w:r>
    </w:p>
    <w:p w:rsidR="00027C84" w:rsidRPr="00516FE9" w:rsidRDefault="00027C84" w:rsidP="00027C84">
      <w:pPr>
        <w:ind w:firstLine="720"/>
        <w:jc w:val="both"/>
        <w:rPr>
          <w:sz w:val="28"/>
          <w:szCs w:val="28"/>
        </w:rPr>
      </w:pPr>
      <w:r w:rsidRPr="00F13E0F">
        <w:rPr>
          <w:b/>
          <w:sz w:val="28"/>
          <w:szCs w:val="28"/>
        </w:rPr>
        <w:t>Điều 2.</w:t>
      </w:r>
      <w:r w:rsidRPr="00516FE9">
        <w:rPr>
          <w:sz w:val="28"/>
          <w:szCs w:val="28"/>
        </w:rPr>
        <w:t xml:space="preserve"> Nghị quyết này có hiệu lực sau 10 ngày</w:t>
      </w:r>
      <w:r>
        <w:rPr>
          <w:sz w:val="28"/>
          <w:szCs w:val="28"/>
        </w:rPr>
        <w:t>,</w:t>
      </w:r>
      <w:r w:rsidRPr="00516FE9">
        <w:rPr>
          <w:sz w:val="28"/>
          <w:szCs w:val="28"/>
        </w:rPr>
        <w:t xml:space="preserve"> kể từ ngày Hội đồng nhân dân </w:t>
      </w:r>
      <w:r>
        <w:rPr>
          <w:sz w:val="28"/>
          <w:szCs w:val="28"/>
        </w:rPr>
        <w:t>t</w:t>
      </w:r>
      <w:r w:rsidRPr="00516FE9">
        <w:rPr>
          <w:sz w:val="28"/>
          <w:szCs w:val="28"/>
        </w:rPr>
        <w:t>ỉnh thông qua.</w:t>
      </w:r>
    </w:p>
    <w:p w:rsidR="00027C84" w:rsidRPr="00516FE9" w:rsidRDefault="00027C84" w:rsidP="00027C84">
      <w:pPr>
        <w:pStyle w:val="NormalWeb"/>
        <w:spacing w:before="0" w:beforeAutospacing="0" w:after="0" w:afterAutospacing="0"/>
        <w:ind w:firstLine="720"/>
        <w:jc w:val="both"/>
        <w:rPr>
          <w:spacing w:val="-2"/>
          <w:sz w:val="28"/>
          <w:szCs w:val="28"/>
        </w:rPr>
      </w:pPr>
      <w:r w:rsidRPr="00516FE9">
        <w:rPr>
          <w:sz w:val="28"/>
          <w:szCs w:val="28"/>
        </w:rPr>
        <w:t>Bãi bỏ các mức chi công tác tiếp công dân được quy định tại khoản 1, mục IV, Phần 2, Điều 1, Nghị quyết số 25/2011/NQ-HĐND</w:t>
      </w:r>
      <w:r>
        <w:rPr>
          <w:sz w:val="28"/>
          <w:szCs w:val="28"/>
        </w:rPr>
        <w:t>,</w:t>
      </w:r>
      <w:r w:rsidRPr="00516FE9">
        <w:rPr>
          <w:sz w:val="28"/>
          <w:szCs w:val="28"/>
        </w:rPr>
        <w:t xml:space="preserve"> ngày 26 tháng 7 năm 2011 của Hội đồng nhân dân tỉnh khóa VIII, kỳ họp thứ 2 về chế độ, định mức chi tiêu tài chính phục vụ hoạt động Hội đồng nhân dân các cấp tỉnh Tây Ninh. </w:t>
      </w:r>
    </w:p>
    <w:p w:rsidR="00027C84" w:rsidRPr="00516FE9" w:rsidRDefault="00027C84" w:rsidP="00027C84">
      <w:pPr>
        <w:pStyle w:val="NormalWeb"/>
        <w:spacing w:before="0" w:beforeAutospacing="0" w:after="0" w:afterAutospacing="0"/>
        <w:ind w:firstLine="720"/>
        <w:jc w:val="both"/>
        <w:rPr>
          <w:sz w:val="28"/>
          <w:szCs w:val="28"/>
        </w:rPr>
      </w:pPr>
      <w:r w:rsidRPr="00F13E0F">
        <w:rPr>
          <w:b/>
          <w:bCs/>
          <w:sz w:val="28"/>
          <w:szCs w:val="28"/>
        </w:rPr>
        <w:t>Điều 3.</w:t>
      </w:r>
      <w:r w:rsidRPr="00516FE9">
        <w:rPr>
          <w:bCs/>
          <w:sz w:val="28"/>
          <w:szCs w:val="28"/>
        </w:rPr>
        <w:t xml:space="preserve"> </w:t>
      </w:r>
      <w:r w:rsidRPr="00516FE9">
        <w:rPr>
          <w:sz w:val="28"/>
          <w:szCs w:val="28"/>
        </w:rPr>
        <w:t>Giao Ủy ban nhân dân tỉnh tổ chức triển khai thực hiện Nghị quyết này đảm bảo đúng quy định.</w:t>
      </w:r>
    </w:p>
    <w:p w:rsidR="00027C84" w:rsidRPr="00516FE9" w:rsidRDefault="00027C84" w:rsidP="00027C84">
      <w:pPr>
        <w:pStyle w:val="NormalWeb"/>
        <w:spacing w:before="0" w:beforeAutospacing="0" w:after="0" w:afterAutospacing="0"/>
        <w:ind w:firstLine="720"/>
        <w:jc w:val="both"/>
        <w:rPr>
          <w:sz w:val="28"/>
          <w:szCs w:val="28"/>
        </w:rPr>
      </w:pPr>
      <w:r w:rsidRPr="00F13E0F">
        <w:rPr>
          <w:b/>
          <w:bCs/>
          <w:sz w:val="28"/>
          <w:szCs w:val="28"/>
        </w:rPr>
        <w:t>Điều 4.</w:t>
      </w:r>
      <w:r w:rsidRPr="00516FE9">
        <w:rPr>
          <w:bCs/>
          <w:sz w:val="28"/>
          <w:szCs w:val="28"/>
        </w:rPr>
        <w:t xml:space="preserve"> </w:t>
      </w:r>
      <w:r w:rsidRPr="00516FE9">
        <w:rPr>
          <w:sz w:val="28"/>
          <w:szCs w:val="28"/>
        </w:rPr>
        <w:t xml:space="preserve">Giao Thường trực Hội đồng nhân dân </w:t>
      </w:r>
      <w:r>
        <w:rPr>
          <w:sz w:val="28"/>
          <w:szCs w:val="28"/>
        </w:rPr>
        <w:t>t</w:t>
      </w:r>
      <w:r w:rsidRPr="00516FE9">
        <w:rPr>
          <w:sz w:val="28"/>
          <w:szCs w:val="28"/>
        </w:rPr>
        <w:t xml:space="preserve">ỉnh, các Ban Hội đồng nhân dân </w:t>
      </w:r>
      <w:r>
        <w:rPr>
          <w:sz w:val="28"/>
          <w:szCs w:val="28"/>
        </w:rPr>
        <w:t>t</w:t>
      </w:r>
      <w:r w:rsidRPr="00516FE9">
        <w:rPr>
          <w:sz w:val="28"/>
          <w:szCs w:val="28"/>
        </w:rPr>
        <w:t xml:space="preserve">ỉnh và đại biểu Hội đồng nhân dân </w:t>
      </w:r>
      <w:r>
        <w:rPr>
          <w:sz w:val="28"/>
          <w:szCs w:val="28"/>
        </w:rPr>
        <w:t>t</w:t>
      </w:r>
      <w:r w:rsidRPr="00516FE9">
        <w:rPr>
          <w:sz w:val="28"/>
          <w:szCs w:val="28"/>
        </w:rPr>
        <w:t>ỉnh tổ chức kiểm tra, giám sát việc thực hiện Nghị quyết.</w:t>
      </w:r>
    </w:p>
    <w:p w:rsidR="00027C84" w:rsidRPr="00516FE9" w:rsidRDefault="00027C84" w:rsidP="00027C84">
      <w:pPr>
        <w:pStyle w:val="NormalWeb"/>
        <w:spacing w:before="0" w:beforeAutospacing="0" w:after="0" w:afterAutospacing="0"/>
        <w:ind w:firstLine="720"/>
        <w:jc w:val="both"/>
        <w:rPr>
          <w:sz w:val="28"/>
          <w:szCs w:val="28"/>
        </w:rPr>
      </w:pPr>
      <w:r w:rsidRPr="00516FE9">
        <w:rPr>
          <w:sz w:val="28"/>
          <w:szCs w:val="28"/>
        </w:rPr>
        <w:t xml:space="preserve">Nghị quyết này đã được Hội đồng nhân dân tỉnh Tây Ninh </w:t>
      </w:r>
      <w:r>
        <w:rPr>
          <w:sz w:val="28"/>
          <w:szCs w:val="28"/>
        </w:rPr>
        <w:t xml:space="preserve">khóa </w:t>
      </w:r>
      <w:r w:rsidRPr="00516FE9">
        <w:rPr>
          <w:sz w:val="28"/>
          <w:szCs w:val="28"/>
        </w:rPr>
        <w:t>VIII, kỳ họp thứ 5 thông qua./.</w:t>
      </w:r>
    </w:p>
    <w:p w:rsidR="00027C84" w:rsidRPr="00516FE9" w:rsidRDefault="00027C84" w:rsidP="00027C84">
      <w:pPr>
        <w:pStyle w:val="NormalWeb"/>
        <w:spacing w:before="0" w:beforeAutospacing="0" w:after="0" w:afterAutospacing="0"/>
        <w:ind w:firstLine="720"/>
        <w:jc w:val="both"/>
        <w:rPr>
          <w:sz w:val="28"/>
          <w:szCs w:val="28"/>
        </w:rPr>
      </w:pPr>
    </w:p>
    <w:p w:rsidR="00027C84" w:rsidRPr="00516FE9" w:rsidRDefault="00027C84" w:rsidP="00027C84">
      <w:pPr>
        <w:pStyle w:val="NormalWeb"/>
        <w:spacing w:before="0" w:beforeAutospacing="0" w:after="0" w:afterAutospacing="0"/>
        <w:ind w:left="5760"/>
        <w:jc w:val="center"/>
        <w:outlineLvl w:val="0"/>
        <w:rPr>
          <w:b/>
          <w:bCs/>
          <w:sz w:val="28"/>
          <w:szCs w:val="28"/>
        </w:rPr>
      </w:pPr>
      <w:r w:rsidRPr="00516FE9">
        <w:rPr>
          <w:b/>
          <w:bCs/>
          <w:sz w:val="28"/>
          <w:szCs w:val="28"/>
        </w:rPr>
        <w:t>CHỦ TỊCH</w:t>
      </w:r>
    </w:p>
    <w:p w:rsidR="00027C84" w:rsidRPr="00516FE9" w:rsidRDefault="00027C84" w:rsidP="00027C84">
      <w:pPr>
        <w:pStyle w:val="NormalWeb"/>
        <w:spacing w:before="0" w:beforeAutospacing="0" w:after="0" w:afterAutospacing="0"/>
        <w:ind w:left="5760"/>
        <w:jc w:val="center"/>
        <w:outlineLvl w:val="0"/>
        <w:rPr>
          <w:b/>
          <w:bCs/>
          <w:i/>
          <w:sz w:val="28"/>
          <w:szCs w:val="28"/>
        </w:rPr>
      </w:pPr>
      <w:r w:rsidRPr="00516FE9">
        <w:rPr>
          <w:b/>
          <w:bCs/>
          <w:sz w:val="28"/>
          <w:szCs w:val="28"/>
        </w:rPr>
        <w:t>Võ Hùng Việt</w:t>
      </w:r>
    </w:p>
    <w:p w:rsidR="00027C84" w:rsidRPr="00516FE9" w:rsidRDefault="00027C84" w:rsidP="00027C84">
      <w:pPr>
        <w:rPr>
          <w:b/>
          <w:sz w:val="28"/>
          <w:szCs w:val="28"/>
        </w:rPr>
      </w:pPr>
    </w:p>
    <w:p w:rsidR="00027C84" w:rsidRDefault="00027C84" w:rsidP="00027C84"/>
    <w:p w:rsidR="00027C84" w:rsidRDefault="00027C84" w:rsidP="00027C84"/>
    <w:p w:rsidR="00EE0FAF" w:rsidRDefault="00EE0FAF"/>
    <w:sectPr w:rsidR="00EE0FAF" w:rsidSect="00027C84">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84"/>
    <w:rsid w:val="00027C84"/>
    <w:rsid w:val="00EE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8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7C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8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7C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2012-12-06T08:00:00Z</dcterms:created>
  <dcterms:modified xsi:type="dcterms:W3CDTF">2012-12-06T08:02:00Z</dcterms:modified>
</cp:coreProperties>
</file>