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9CC79" w14:textId="77777777" w:rsidR="00506FAB" w:rsidRPr="00D47D9E" w:rsidRDefault="00506FAB" w:rsidP="00506FAB">
      <w:pPr>
        <w:jc w:val="center"/>
        <w:rPr>
          <w:b/>
          <w:sz w:val="28"/>
          <w:szCs w:val="28"/>
        </w:rPr>
      </w:pPr>
      <w:r w:rsidRPr="00D47D9E">
        <w:rPr>
          <w:b/>
          <w:sz w:val="28"/>
          <w:szCs w:val="28"/>
        </w:rPr>
        <w:t xml:space="preserve">PHỤ LỤC </w:t>
      </w:r>
    </w:p>
    <w:p w14:paraId="2659CF9A" w14:textId="596E0599" w:rsidR="00ED4538" w:rsidRDefault="00506FAB" w:rsidP="00506FAB">
      <w:pPr>
        <w:jc w:val="center"/>
        <w:rPr>
          <w:b/>
          <w:sz w:val="28"/>
          <w:szCs w:val="28"/>
        </w:rPr>
      </w:pPr>
      <w:r w:rsidRPr="00D47D9E">
        <w:rPr>
          <w:b/>
          <w:sz w:val="28"/>
          <w:szCs w:val="28"/>
        </w:rPr>
        <w:t xml:space="preserve">DANH MỤC THỦ TỤC HÀNH CHÍNH </w:t>
      </w:r>
      <w:r w:rsidR="00E77AE3">
        <w:rPr>
          <w:b/>
          <w:sz w:val="28"/>
          <w:szCs w:val="28"/>
        </w:rPr>
        <w:t xml:space="preserve">ĐƯỢC </w:t>
      </w:r>
      <w:r w:rsidR="00507CBE">
        <w:rPr>
          <w:b/>
          <w:sz w:val="28"/>
          <w:szCs w:val="28"/>
        </w:rPr>
        <w:t xml:space="preserve">BAN HÀNH MỚI, </w:t>
      </w:r>
      <w:r w:rsidR="00E77AE3">
        <w:rPr>
          <w:b/>
          <w:sz w:val="28"/>
          <w:szCs w:val="28"/>
        </w:rPr>
        <w:t>SỬA ĐỔI, BỔ SUNG</w:t>
      </w:r>
      <w:r w:rsidR="009A0A59">
        <w:rPr>
          <w:b/>
          <w:sz w:val="28"/>
          <w:szCs w:val="28"/>
        </w:rPr>
        <w:t xml:space="preserve">, </w:t>
      </w:r>
    </w:p>
    <w:p w14:paraId="74B8CA1F" w14:textId="7A78898D" w:rsidR="001E3DB9" w:rsidRPr="001E3DB9" w:rsidRDefault="009A0A59" w:rsidP="001E3DB9">
      <w:pPr>
        <w:jc w:val="center"/>
        <w:rPr>
          <w:b/>
          <w:sz w:val="28"/>
          <w:szCs w:val="28"/>
        </w:rPr>
      </w:pPr>
      <w:r>
        <w:rPr>
          <w:b/>
          <w:sz w:val="28"/>
          <w:szCs w:val="28"/>
        </w:rPr>
        <w:t>THAY THẾ, BÃI BỎ</w:t>
      </w:r>
      <w:r w:rsidR="00417C9D">
        <w:rPr>
          <w:b/>
          <w:sz w:val="28"/>
          <w:szCs w:val="28"/>
        </w:rPr>
        <w:t xml:space="preserve"> </w:t>
      </w:r>
      <w:r w:rsidR="003C01F3">
        <w:rPr>
          <w:b/>
          <w:sz w:val="28"/>
          <w:szCs w:val="28"/>
        </w:rPr>
        <w:t>TRONG</w:t>
      </w:r>
      <w:r w:rsidR="00E77AE3">
        <w:rPr>
          <w:b/>
          <w:sz w:val="28"/>
          <w:szCs w:val="28"/>
        </w:rPr>
        <w:t xml:space="preserve"> </w:t>
      </w:r>
      <w:r w:rsidR="00506FAB" w:rsidRPr="00F12655">
        <w:rPr>
          <w:b/>
          <w:color w:val="000000"/>
          <w:sz w:val="28"/>
          <w:szCs w:val="28"/>
        </w:rPr>
        <w:t>LĨNH VỰC</w:t>
      </w:r>
      <w:r w:rsidR="003C01F3">
        <w:rPr>
          <w:b/>
          <w:color w:val="000000"/>
          <w:sz w:val="28"/>
          <w:szCs w:val="28"/>
        </w:rPr>
        <w:t xml:space="preserve"> </w:t>
      </w:r>
      <w:r w:rsidR="00417C9D">
        <w:rPr>
          <w:b/>
          <w:color w:val="000000"/>
          <w:sz w:val="28"/>
          <w:szCs w:val="28"/>
        </w:rPr>
        <w:t>Đ</w:t>
      </w:r>
      <w:r w:rsidR="00507CBE">
        <w:rPr>
          <w:b/>
          <w:color w:val="000000"/>
          <w:sz w:val="28"/>
          <w:szCs w:val="28"/>
        </w:rPr>
        <w:t>ĂNG KIỂM</w:t>
      </w:r>
      <w:r>
        <w:rPr>
          <w:b/>
          <w:color w:val="000000"/>
          <w:sz w:val="28"/>
          <w:szCs w:val="28"/>
        </w:rPr>
        <w:t xml:space="preserve"> </w:t>
      </w:r>
      <w:r w:rsidR="00506FAB" w:rsidRPr="00F12655">
        <w:rPr>
          <w:b/>
          <w:color w:val="000000"/>
          <w:sz w:val="28"/>
          <w:szCs w:val="28"/>
        </w:rPr>
        <w:t xml:space="preserve">THUỘC </w:t>
      </w:r>
      <w:r w:rsidR="00636FB9">
        <w:rPr>
          <w:b/>
          <w:sz w:val="28"/>
          <w:szCs w:val="28"/>
        </w:rPr>
        <w:t xml:space="preserve">THẨM QUYỀN GIẢI QUYẾT </w:t>
      </w:r>
    </w:p>
    <w:p w14:paraId="103E4DC9" w14:textId="19967BE7" w:rsidR="00506FAB" w:rsidRDefault="001E3DB9" w:rsidP="001E3DB9">
      <w:pPr>
        <w:jc w:val="center"/>
        <w:rPr>
          <w:b/>
          <w:sz w:val="28"/>
          <w:szCs w:val="28"/>
        </w:rPr>
      </w:pPr>
      <w:r w:rsidRPr="001E3DB9">
        <w:rPr>
          <w:b/>
          <w:sz w:val="28"/>
          <w:szCs w:val="28"/>
        </w:rPr>
        <w:t xml:space="preserve"> CỦA </w:t>
      </w:r>
      <w:r w:rsidR="00F83E78">
        <w:rPr>
          <w:b/>
          <w:sz w:val="28"/>
          <w:szCs w:val="28"/>
        </w:rPr>
        <w:t>NGÀNH</w:t>
      </w:r>
      <w:r w:rsidR="00C64F63">
        <w:rPr>
          <w:b/>
          <w:sz w:val="28"/>
          <w:szCs w:val="28"/>
        </w:rPr>
        <w:t xml:space="preserve"> GIAO THÔNG</w:t>
      </w:r>
      <w:r w:rsidR="00F83E78">
        <w:rPr>
          <w:b/>
          <w:sz w:val="28"/>
          <w:szCs w:val="28"/>
        </w:rPr>
        <w:t xml:space="preserve"> </w:t>
      </w:r>
      <w:r w:rsidR="00417C9D">
        <w:rPr>
          <w:b/>
          <w:color w:val="000000"/>
          <w:sz w:val="28"/>
          <w:szCs w:val="28"/>
        </w:rPr>
        <w:t>VẬN TẢI</w:t>
      </w:r>
      <w:r w:rsidR="00506FAB" w:rsidRPr="00F12655">
        <w:rPr>
          <w:b/>
          <w:color w:val="000000"/>
          <w:sz w:val="28"/>
          <w:szCs w:val="28"/>
        </w:rPr>
        <w:t xml:space="preserve"> </w:t>
      </w:r>
      <w:r w:rsidR="00F83E78">
        <w:rPr>
          <w:b/>
          <w:color w:val="000000"/>
          <w:sz w:val="28"/>
          <w:szCs w:val="28"/>
        </w:rPr>
        <w:t xml:space="preserve">TRÊN ĐỊA BÀN </w:t>
      </w:r>
      <w:r w:rsidR="00506FAB" w:rsidRPr="00F12655">
        <w:rPr>
          <w:b/>
          <w:color w:val="000000"/>
          <w:sz w:val="28"/>
          <w:szCs w:val="28"/>
        </w:rPr>
        <w:t>TỈNH TÂY</w:t>
      </w:r>
      <w:r w:rsidR="00506FAB" w:rsidRPr="00D47D9E">
        <w:rPr>
          <w:b/>
          <w:sz w:val="28"/>
          <w:szCs w:val="28"/>
        </w:rPr>
        <w:t xml:space="preserve"> NINH </w:t>
      </w:r>
    </w:p>
    <w:p w14:paraId="108D8CAF" w14:textId="2DF1C124" w:rsidR="001427F6" w:rsidRDefault="001427F6" w:rsidP="00506FAB">
      <w:pPr>
        <w:jc w:val="center"/>
        <w:rPr>
          <w:b/>
          <w:sz w:val="28"/>
          <w:szCs w:val="28"/>
        </w:rPr>
      </w:pPr>
      <w:r w:rsidRPr="007A0118">
        <w:rPr>
          <w:i/>
          <w:sz w:val="28"/>
          <w:szCs w:val="28"/>
        </w:rPr>
        <w:t xml:space="preserve">(Ban hành kèm theo Quyết định số </w:t>
      </w:r>
      <w:r w:rsidR="006E5AF3">
        <w:rPr>
          <w:i/>
          <w:sz w:val="28"/>
          <w:szCs w:val="28"/>
        </w:rPr>
        <w:t>13 /QĐ-UBND ngày 03</w:t>
      </w:r>
      <w:r w:rsidR="00F83E78">
        <w:rPr>
          <w:i/>
          <w:sz w:val="28"/>
          <w:szCs w:val="28"/>
        </w:rPr>
        <w:t xml:space="preserve"> </w:t>
      </w:r>
      <w:r w:rsidRPr="007A0118">
        <w:rPr>
          <w:i/>
          <w:sz w:val="28"/>
          <w:szCs w:val="28"/>
        </w:rPr>
        <w:t>/</w:t>
      </w:r>
      <w:r w:rsidR="00507CBE">
        <w:rPr>
          <w:i/>
          <w:sz w:val="28"/>
          <w:szCs w:val="28"/>
        </w:rPr>
        <w:t>01</w:t>
      </w:r>
      <w:r w:rsidRPr="007A0118">
        <w:rPr>
          <w:i/>
          <w:sz w:val="28"/>
          <w:szCs w:val="28"/>
        </w:rPr>
        <w:t>/202</w:t>
      </w:r>
      <w:r w:rsidR="00507CBE">
        <w:rPr>
          <w:i/>
          <w:sz w:val="28"/>
          <w:szCs w:val="28"/>
        </w:rPr>
        <w:t>5</w:t>
      </w:r>
      <w:r w:rsidRPr="007A0118">
        <w:rPr>
          <w:i/>
          <w:sz w:val="28"/>
          <w:szCs w:val="28"/>
        </w:rPr>
        <w:t xml:space="preserve"> của </w:t>
      </w:r>
      <w:r w:rsidR="00ED4538">
        <w:rPr>
          <w:i/>
          <w:sz w:val="28"/>
          <w:szCs w:val="28"/>
        </w:rPr>
        <w:t xml:space="preserve">Chủ tịch </w:t>
      </w:r>
      <w:r w:rsidRPr="007A0118">
        <w:rPr>
          <w:i/>
          <w:sz w:val="28"/>
          <w:szCs w:val="28"/>
        </w:rPr>
        <w:t>Ủy ban nhân dân tỉnh Tây Ninh)</w:t>
      </w:r>
    </w:p>
    <w:p w14:paraId="4A37A2B7" w14:textId="6E1086EE" w:rsidR="0020643E" w:rsidRPr="00FD2727" w:rsidRDefault="00F83E78" w:rsidP="00742A83">
      <w:pPr>
        <w:ind w:left="720" w:firstLine="720"/>
        <w:jc w:val="both"/>
        <w:rPr>
          <w:b/>
          <w:bCs/>
          <w:color w:val="000000"/>
          <w:sz w:val="10"/>
          <w:szCs w:val="10"/>
        </w:rPr>
      </w:pPr>
      <w:r>
        <w:rPr>
          <w:b/>
          <w:bCs/>
          <w:noProof/>
          <w:color w:val="000000"/>
          <w:sz w:val="10"/>
          <w:szCs w:val="10"/>
        </w:rPr>
        <mc:AlternateContent>
          <mc:Choice Requires="wps">
            <w:drawing>
              <wp:anchor distT="0" distB="0" distL="114300" distR="114300" simplePos="0" relativeHeight="251659264" behindDoc="0" locked="0" layoutInCell="1" allowOverlap="1" wp14:anchorId="0B155D2A" wp14:editId="6CDE6201">
                <wp:simplePos x="0" y="0"/>
                <wp:positionH relativeFrom="column">
                  <wp:posOffset>3968750</wp:posOffset>
                </wp:positionH>
                <wp:positionV relativeFrom="paragraph">
                  <wp:posOffset>34290</wp:posOffset>
                </wp:positionV>
                <wp:extent cx="220980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F09B90"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12.5pt,2.7pt" to="486.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" strokecolor="black [3040]"/>
            </w:pict>
          </mc:Fallback>
        </mc:AlternateContent>
      </w:r>
    </w:p>
    <w:p w14:paraId="7A683320" w14:textId="22218104" w:rsidR="00BD757E" w:rsidRPr="00BD757E" w:rsidRDefault="00BD757E" w:rsidP="00BD757E">
      <w:pPr>
        <w:spacing w:before="20"/>
        <w:ind w:left="720" w:firstLine="720"/>
        <w:jc w:val="center"/>
        <w:rPr>
          <w:b/>
          <w:bCs/>
          <w:color w:val="000000"/>
          <w:sz w:val="10"/>
          <w:szCs w:val="10"/>
        </w:rPr>
      </w:pPr>
    </w:p>
    <w:p w14:paraId="143BBC7F" w14:textId="5D19C7DF" w:rsidR="00506FAB" w:rsidRPr="00091322" w:rsidRDefault="00BD757E" w:rsidP="00091322">
      <w:pPr>
        <w:ind w:firstLine="720"/>
        <w:jc w:val="both"/>
        <w:rPr>
          <w:b/>
          <w:bCs/>
          <w:color w:val="000000"/>
          <w:sz w:val="2"/>
          <w:szCs w:val="2"/>
        </w:rPr>
      </w:pPr>
      <w:r w:rsidRPr="00091322">
        <w:rPr>
          <w:b/>
          <w:bCs/>
          <w:color w:val="000000"/>
          <w:sz w:val="28"/>
          <w:szCs w:val="28"/>
        </w:rPr>
        <w:t xml:space="preserve">1. </w:t>
      </w:r>
      <w:r w:rsidR="00EF7826" w:rsidRPr="001E1704">
        <w:rPr>
          <w:b/>
          <w:bCs/>
          <w:color w:val="000000" w:themeColor="text1"/>
          <w:sz w:val="28"/>
          <w:szCs w:val="28"/>
          <w:lang w:val="pt-BR"/>
        </w:rPr>
        <w:t xml:space="preserve">Danh mục thủ tục hành chính được </w:t>
      </w:r>
      <w:r w:rsidR="00EF7826">
        <w:rPr>
          <w:b/>
          <w:bCs/>
          <w:color w:val="000000" w:themeColor="text1"/>
          <w:sz w:val="28"/>
          <w:szCs w:val="28"/>
          <w:lang w:val="pt-BR"/>
        </w:rPr>
        <w:t>ban hành mới</w:t>
      </w:r>
      <w:r w:rsidRPr="00091322">
        <w:rPr>
          <w:b/>
          <w:bCs/>
          <w:color w:val="000000"/>
          <w:sz w:val="28"/>
          <w:szCs w:val="28"/>
        </w:rPr>
        <w:t>: 0</w:t>
      </w:r>
      <w:r w:rsidR="00507CBE">
        <w:rPr>
          <w:b/>
          <w:bCs/>
          <w:color w:val="000000"/>
          <w:sz w:val="28"/>
          <w:szCs w:val="28"/>
        </w:rPr>
        <w:t>6</w:t>
      </w:r>
      <w:r w:rsidRPr="00091322">
        <w:rPr>
          <w:b/>
          <w:bCs/>
          <w:color w:val="000000"/>
          <w:sz w:val="28"/>
          <w:szCs w:val="28"/>
        </w:rPr>
        <w:t xml:space="preserve"> TTHC</w:t>
      </w:r>
      <w:r w:rsidR="00F83E78">
        <w:rPr>
          <w:b/>
          <w:bCs/>
          <w:color w:val="000000"/>
          <w:sz w:val="28"/>
          <w:szCs w:val="28"/>
        </w:rPr>
        <w:t xml:space="preserve"> </w:t>
      </w:r>
    </w:p>
    <w:p w14:paraId="7847FA43" w14:textId="713089BD" w:rsidR="00091322" w:rsidRDefault="00091322" w:rsidP="00091322">
      <w:pPr>
        <w:jc w:val="both"/>
        <w:rPr>
          <w:b/>
          <w:bCs/>
          <w:color w:val="000000"/>
          <w:sz w:val="2"/>
          <w:szCs w:val="2"/>
        </w:rPr>
      </w:pPr>
    </w:p>
    <w:p w14:paraId="6E21110B" w14:textId="144E01E6" w:rsidR="00091322" w:rsidRDefault="00091322" w:rsidP="00091322">
      <w:pPr>
        <w:jc w:val="both"/>
        <w:rPr>
          <w:b/>
          <w:bCs/>
          <w:color w:val="000000"/>
          <w:sz w:val="2"/>
          <w:szCs w:val="2"/>
        </w:rPr>
      </w:pPr>
    </w:p>
    <w:p w14:paraId="0FAB972B" w14:textId="3F9C6CB7" w:rsidR="00091322" w:rsidRDefault="00091322" w:rsidP="00091322">
      <w:pPr>
        <w:jc w:val="both"/>
        <w:rPr>
          <w:b/>
          <w:bCs/>
          <w:color w:val="000000"/>
          <w:sz w:val="2"/>
          <w:szCs w:val="2"/>
        </w:rPr>
      </w:pPr>
    </w:p>
    <w:p w14:paraId="6B064813" w14:textId="2C1C8B4B" w:rsidR="00BD757E" w:rsidRPr="00BD757E" w:rsidRDefault="00BD757E" w:rsidP="00091322">
      <w:pPr>
        <w:jc w:val="both"/>
        <w:rPr>
          <w:b/>
          <w:bCs/>
          <w:color w:val="000000"/>
          <w:sz w:val="2"/>
          <w:szCs w:val="2"/>
        </w:rPr>
      </w:pPr>
    </w:p>
    <w:tbl>
      <w:tblPr>
        <w:tblStyle w:val="TableGrid"/>
        <w:tblW w:w="14321" w:type="dxa"/>
        <w:jc w:val="center"/>
        <w:tblLayout w:type="fixed"/>
        <w:tblLook w:val="04A0" w:firstRow="1" w:lastRow="0" w:firstColumn="1" w:lastColumn="0" w:noHBand="0" w:noVBand="1"/>
      </w:tblPr>
      <w:tblGrid>
        <w:gridCol w:w="846"/>
        <w:gridCol w:w="2268"/>
        <w:gridCol w:w="1417"/>
        <w:gridCol w:w="2160"/>
        <w:gridCol w:w="1993"/>
        <w:gridCol w:w="1946"/>
        <w:gridCol w:w="1134"/>
        <w:gridCol w:w="2557"/>
      </w:tblGrid>
      <w:tr w:rsidR="00D00481" w:rsidRPr="00365C2F" w14:paraId="5F5F8E5E" w14:textId="77777777" w:rsidTr="00F237F6">
        <w:trPr>
          <w:tblHeader/>
          <w:jc w:val="center"/>
        </w:trPr>
        <w:tc>
          <w:tcPr>
            <w:tcW w:w="846" w:type="dxa"/>
            <w:vAlign w:val="center"/>
          </w:tcPr>
          <w:p w14:paraId="720B3AEC" w14:textId="77777777" w:rsidR="00BF3F4E" w:rsidRPr="00365C2F" w:rsidRDefault="00BF3F4E" w:rsidP="00202167">
            <w:pPr>
              <w:jc w:val="center"/>
              <w:rPr>
                <w:b/>
                <w:bCs/>
              </w:rPr>
            </w:pPr>
            <w:r w:rsidRPr="00365C2F">
              <w:rPr>
                <w:b/>
                <w:bCs/>
              </w:rPr>
              <w:t>STT</w:t>
            </w:r>
          </w:p>
        </w:tc>
        <w:tc>
          <w:tcPr>
            <w:tcW w:w="2268" w:type="dxa"/>
            <w:vAlign w:val="center"/>
          </w:tcPr>
          <w:p w14:paraId="33E0769B" w14:textId="77777777" w:rsidR="00BF3F4E" w:rsidRPr="00365C2F" w:rsidRDefault="00BF3F4E" w:rsidP="00202167">
            <w:pPr>
              <w:jc w:val="center"/>
              <w:rPr>
                <w:b/>
                <w:bCs/>
              </w:rPr>
            </w:pPr>
            <w:r w:rsidRPr="00365C2F">
              <w:rPr>
                <w:b/>
                <w:bCs/>
              </w:rPr>
              <w:t>Tên thủ tục hành chính</w:t>
            </w:r>
          </w:p>
        </w:tc>
        <w:tc>
          <w:tcPr>
            <w:tcW w:w="1417" w:type="dxa"/>
            <w:vAlign w:val="center"/>
          </w:tcPr>
          <w:p w14:paraId="4532F059" w14:textId="77777777" w:rsidR="00BF3F4E" w:rsidRPr="00365C2F" w:rsidRDefault="00BF3F4E" w:rsidP="00202167">
            <w:pPr>
              <w:jc w:val="center"/>
              <w:rPr>
                <w:b/>
                <w:bCs/>
              </w:rPr>
            </w:pPr>
            <w:r w:rsidRPr="00365C2F">
              <w:rPr>
                <w:b/>
                <w:bCs/>
              </w:rPr>
              <w:t>Mã TTHC</w:t>
            </w:r>
          </w:p>
        </w:tc>
        <w:tc>
          <w:tcPr>
            <w:tcW w:w="2160" w:type="dxa"/>
            <w:vAlign w:val="center"/>
          </w:tcPr>
          <w:p w14:paraId="595ACD55" w14:textId="77777777" w:rsidR="00BF3F4E" w:rsidRPr="00365C2F" w:rsidRDefault="00BF3F4E" w:rsidP="00202167">
            <w:pPr>
              <w:jc w:val="center"/>
              <w:rPr>
                <w:b/>
                <w:bCs/>
              </w:rPr>
            </w:pPr>
            <w:r w:rsidRPr="00365C2F">
              <w:rPr>
                <w:b/>
                <w:bCs/>
              </w:rPr>
              <w:t>Thời hạn giải quyết</w:t>
            </w:r>
          </w:p>
        </w:tc>
        <w:tc>
          <w:tcPr>
            <w:tcW w:w="1993" w:type="dxa"/>
            <w:vAlign w:val="center"/>
          </w:tcPr>
          <w:p w14:paraId="0B84217B" w14:textId="77777777" w:rsidR="00BF3F4E" w:rsidRPr="00365C2F" w:rsidRDefault="00BF3F4E" w:rsidP="00202167">
            <w:pPr>
              <w:jc w:val="center"/>
              <w:rPr>
                <w:b/>
                <w:bCs/>
              </w:rPr>
            </w:pPr>
            <w:r w:rsidRPr="00365C2F">
              <w:rPr>
                <w:b/>
                <w:bCs/>
              </w:rPr>
              <w:t>Địa điểm thực hiện</w:t>
            </w:r>
          </w:p>
        </w:tc>
        <w:tc>
          <w:tcPr>
            <w:tcW w:w="1946" w:type="dxa"/>
            <w:vAlign w:val="center"/>
          </w:tcPr>
          <w:p w14:paraId="670518DD" w14:textId="77777777" w:rsidR="00BF3F4E" w:rsidRPr="00365C2F" w:rsidRDefault="00BF3F4E" w:rsidP="00202167">
            <w:pPr>
              <w:jc w:val="center"/>
              <w:rPr>
                <w:b/>
                <w:bCs/>
              </w:rPr>
            </w:pPr>
            <w:r w:rsidRPr="00365C2F">
              <w:rPr>
                <w:b/>
                <w:bCs/>
              </w:rPr>
              <w:t>Phí, lệ phí (nếu có)</w:t>
            </w:r>
          </w:p>
        </w:tc>
        <w:tc>
          <w:tcPr>
            <w:tcW w:w="1134" w:type="dxa"/>
            <w:vAlign w:val="center"/>
          </w:tcPr>
          <w:p w14:paraId="4997C46E" w14:textId="77777777" w:rsidR="00BF3F4E" w:rsidRPr="00365C2F" w:rsidRDefault="00BF3F4E" w:rsidP="00202167">
            <w:pPr>
              <w:jc w:val="center"/>
              <w:rPr>
                <w:b/>
                <w:bCs/>
              </w:rPr>
            </w:pPr>
            <w:r w:rsidRPr="00365C2F">
              <w:rPr>
                <w:b/>
                <w:bCs/>
              </w:rPr>
              <w:t>Mức dịch vụ công trực tuyến</w:t>
            </w:r>
          </w:p>
        </w:tc>
        <w:tc>
          <w:tcPr>
            <w:tcW w:w="2557" w:type="dxa"/>
            <w:vAlign w:val="center"/>
          </w:tcPr>
          <w:p w14:paraId="5E578A3F" w14:textId="77777777" w:rsidR="00BF3F4E" w:rsidRPr="00365C2F" w:rsidRDefault="00BF3F4E" w:rsidP="00202167">
            <w:pPr>
              <w:jc w:val="center"/>
              <w:rPr>
                <w:b/>
                <w:bCs/>
              </w:rPr>
            </w:pPr>
            <w:r w:rsidRPr="00365C2F">
              <w:rPr>
                <w:b/>
                <w:bCs/>
              </w:rPr>
              <w:t>Căn cứ pháp lý</w:t>
            </w:r>
          </w:p>
        </w:tc>
      </w:tr>
      <w:tr w:rsidR="00D00481" w:rsidRPr="00365C2F" w14:paraId="6F1DBB15" w14:textId="77777777" w:rsidTr="00F237F6">
        <w:trPr>
          <w:trHeight w:val="1063"/>
          <w:jc w:val="center"/>
        </w:trPr>
        <w:tc>
          <w:tcPr>
            <w:tcW w:w="846" w:type="dxa"/>
            <w:vAlign w:val="center"/>
          </w:tcPr>
          <w:p w14:paraId="1C44C822" w14:textId="0B1F3F0F" w:rsidR="00BF3F4E" w:rsidRPr="00365C2F" w:rsidRDefault="00BF3F4E" w:rsidP="00F237F6">
            <w:pPr>
              <w:jc w:val="center"/>
            </w:pPr>
            <w:r w:rsidRPr="00365C2F">
              <w:t>1</w:t>
            </w:r>
          </w:p>
        </w:tc>
        <w:tc>
          <w:tcPr>
            <w:tcW w:w="2268" w:type="dxa"/>
            <w:vAlign w:val="center"/>
          </w:tcPr>
          <w:p w14:paraId="15BE6F42" w14:textId="3683214D" w:rsidR="00BF3F4E" w:rsidRPr="00365C2F" w:rsidRDefault="00BF3F4E" w:rsidP="00202167">
            <w:pPr>
              <w:jc w:val="both"/>
              <w:rPr>
                <w:shd w:val="clear" w:color="auto" w:fill="FFFFFF"/>
              </w:rPr>
            </w:pPr>
            <w:r w:rsidRPr="00365C2F">
              <w:t xml:space="preserve">Cấp Giấy chứng nhận kiểm định, Tem kiểm định an toàn kỹ thuật và bảo vệ môi trường cho xe cơ giới (trừ </w:t>
            </w:r>
            <w:r w:rsidRPr="00365C2F">
              <w:rPr>
                <w:lang w:val="sv-SE"/>
              </w:rPr>
              <w:t>xe mô tô, xe gắn máy)</w:t>
            </w:r>
            <w:r w:rsidRPr="00365C2F">
              <w:t>, xe máy chuyên dùng trong trường hợp miễn kiểm định lần đầu</w:t>
            </w:r>
          </w:p>
        </w:tc>
        <w:tc>
          <w:tcPr>
            <w:tcW w:w="1417" w:type="dxa"/>
            <w:vAlign w:val="center"/>
          </w:tcPr>
          <w:p w14:paraId="45BF0594" w14:textId="2C7746B2" w:rsidR="00BF3F4E" w:rsidRPr="00365C2F" w:rsidRDefault="00BF3F4E" w:rsidP="00202167">
            <w:pPr>
              <w:jc w:val="both"/>
              <w:rPr>
                <w:color w:val="FF0000"/>
              </w:rPr>
            </w:pPr>
            <w:r w:rsidRPr="00365C2F">
              <w:rPr>
                <w:color w:val="000000" w:themeColor="text1"/>
                <w:shd w:val="clear" w:color="auto" w:fill="FFFFFF"/>
              </w:rPr>
              <w:t>1.013089</w:t>
            </w:r>
          </w:p>
        </w:tc>
        <w:tc>
          <w:tcPr>
            <w:tcW w:w="2160" w:type="dxa"/>
            <w:vAlign w:val="center"/>
          </w:tcPr>
          <w:p w14:paraId="2BF00260" w14:textId="02EE3D37" w:rsidR="00BF3F4E" w:rsidRPr="00365C2F" w:rsidRDefault="00BF3F4E" w:rsidP="00202167">
            <w:pPr>
              <w:jc w:val="both"/>
              <w:rPr>
                <w:shd w:val="clear" w:color="auto" w:fill="FFFFFF"/>
              </w:rPr>
            </w:pPr>
            <w:r w:rsidRPr="00365C2F">
              <w:rPr>
                <w:iCs/>
                <w:lang w:val="nl-NL"/>
              </w:rPr>
              <w:t>Ngay trong ngày nhận đủ hồ sơ theo quy định</w:t>
            </w:r>
          </w:p>
        </w:tc>
        <w:tc>
          <w:tcPr>
            <w:tcW w:w="1993" w:type="dxa"/>
            <w:vAlign w:val="center"/>
          </w:tcPr>
          <w:p w14:paraId="7EB42C61" w14:textId="763D6934" w:rsidR="001E3DB9" w:rsidRPr="00365C2F" w:rsidRDefault="001E3DB9" w:rsidP="00202167">
            <w:pPr>
              <w:jc w:val="both"/>
              <w:rPr>
                <w:bCs/>
                <w:color w:val="000000" w:themeColor="text1"/>
              </w:rPr>
            </w:pPr>
            <w:r w:rsidRPr="00365C2F">
              <w:rPr>
                <w:bCs/>
                <w:color w:val="000000" w:themeColor="text1"/>
              </w:rPr>
              <w:t>-</w:t>
            </w:r>
            <w:r w:rsidR="00F83E78">
              <w:rPr>
                <w:bCs/>
                <w:color w:val="000000" w:themeColor="text1"/>
              </w:rPr>
              <w:t xml:space="preserve"> </w:t>
            </w:r>
            <w:r w:rsidRPr="00365C2F">
              <w:rPr>
                <w:bCs/>
                <w:color w:val="000000" w:themeColor="text1"/>
              </w:rPr>
              <w:t xml:space="preserve">Cơ quan tiếp nhận và thực hiện giải quyết TTHC: Đơn vị đăng kiểm </w:t>
            </w:r>
          </w:p>
          <w:p w14:paraId="3197D945" w14:textId="7DA0066A" w:rsidR="00BF3F4E" w:rsidRPr="00365C2F" w:rsidRDefault="001E3DB9" w:rsidP="00202167">
            <w:pPr>
              <w:jc w:val="both"/>
              <w:rPr>
                <w:bCs/>
              </w:rPr>
            </w:pPr>
            <w:r w:rsidRPr="00365C2F">
              <w:rPr>
                <w:bCs/>
                <w:color w:val="000000" w:themeColor="text1"/>
              </w:rPr>
              <w:t xml:space="preserve">-Địa điểm tiếp nhận hồ sơ: Đơn vị đăng kiểm </w:t>
            </w:r>
          </w:p>
        </w:tc>
        <w:tc>
          <w:tcPr>
            <w:tcW w:w="1946" w:type="dxa"/>
            <w:vAlign w:val="center"/>
          </w:tcPr>
          <w:p w14:paraId="2976EEFB" w14:textId="68009AE2" w:rsidR="00BF3F4E" w:rsidRPr="00365C2F" w:rsidRDefault="00BF3F4E" w:rsidP="00202167">
            <w:pPr>
              <w:jc w:val="both"/>
            </w:pPr>
            <w:r w:rsidRPr="00365C2F">
              <w:rPr>
                <w:lang w:val="sv-SE"/>
              </w:rPr>
              <w:t>40.000 đồng/01 Giấy chứng nhận</w:t>
            </w:r>
            <w:r w:rsidR="00C34883" w:rsidRPr="00365C2F">
              <w:rPr>
                <w:lang w:val="sv-SE"/>
              </w:rPr>
              <w:t xml:space="preserve">, </w:t>
            </w:r>
            <w:r w:rsidRPr="00365C2F">
              <w:rPr>
                <w:lang w:val="sv-SE"/>
              </w:rPr>
              <w:t>đối với ô tô dưới 10 chỗ ngồi (không bao gồm xe cứu thương): 90.000 đồng/01 Giấy chứng nhận kiểm định</w:t>
            </w:r>
          </w:p>
        </w:tc>
        <w:tc>
          <w:tcPr>
            <w:tcW w:w="1134" w:type="dxa"/>
            <w:vAlign w:val="center"/>
          </w:tcPr>
          <w:p w14:paraId="52BACE87" w14:textId="0D783403" w:rsidR="00BF3F4E" w:rsidRPr="00365C2F" w:rsidRDefault="00BF3F4E" w:rsidP="00202167">
            <w:pPr>
              <w:jc w:val="center"/>
              <w:rPr>
                <w:bCs/>
              </w:rPr>
            </w:pPr>
            <w:r w:rsidRPr="00365C2F">
              <w:rPr>
                <w:bCs/>
              </w:rPr>
              <w:t>Toàn trình</w:t>
            </w:r>
          </w:p>
        </w:tc>
        <w:tc>
          <w:tcPr>
            <w:tcW w:w="2557" w:type="dxa"/>
            <w:vAlign w:val="center"/>
          </w:tcPr>
          <w:p w14:paraId="2D581CF5" w14:textId="7B7527DB" w:rsidR="00824933" w:rsidRPr="00365C2F" w:rsidRDefault="00543C74" w:rsidP="00E94180">
            <w:pPr>
              <w:jc w:val="center"/>
              <w:rPr>
                <w:lang w:val="sv-SE"/>
              </w:rPr>
            </w:pPr>
            <w:r w:rsidRPr="00365C2F">
              <w:rPr>
                <w:lang w:val="sv-SE"/>
              </w:rPr>
              <w:t>- Thông tư số 47/2024/TT-BGTVT ngày 15 tháng 11 năm 2024 của Bộ Giao thông vận tả</w:t>
            </w:r>
            <w:r w:rsidR="00824933" w:rsidRPr="00365C2F">
              <w:rPr>
                <w:lang w:val="sv-SE"/>
              </w:rPr>
              <w:t>.</w:t>
            </w:r>
            <w:r w:rsidRPr="00365C2F">
              <w:rPr>
                <w:lang w:val="sv-SE"/>
              </w:rPr>
              <w:t>i</w:t>
            </w:r>
          </w:p>
          <w:p w14:paraId="6391E57C" w14:textId="1A1E6ACC" w:rsidR="00BF3F4E" w:rsidRPr="00365C2F" w:rsidRDefault="00543C74" w:rsidP="00E94180">
            <w:pPr>
              <w:jc w:val="center"/>
            </w:pPr>
            <w:r w:rsidRPr="00365C2F">
              <w:t>- Thông tư số 199/2016/TT-BTC ngày 08 tháng 11 năm 2016</w:t>
            </w:r>
            <w:r w:rsidR="00C34883" w:rsidRPr="00365C2F">
              <w:t xml:space="preserve">; </w:t>
            </w:r>
            <w:r w:rsidRPr="00365C2F">
              <w:t xml:space="preserve">Thông tư số 36/2022/TT-BTC ngày 08 tháng 11 năm 2016 </w:t>
            </w:r>
            <w:r w:rsidR="00824933" w:rsidRPr="00365C2F">
              <w:t>của Bộ Tài chính</w:t>
            </w:r>
          </w:p>
        </w:tc>
      </w:tr>
      <w:tr w:rsidR="001E3DB9" w:rsidRPr="00365C2F" w14:paraId="42D865D8" w14:textId="77777777" w:rsidTr="00F237F6">
        <w:trPr>
          <w:trHeight w:val="2637"/>
          <w:jc w:val="center"/>
        </w:trPr>
        <w:tc>
          <w:tcPr>
            <w:tcW w:w="846" w:type="dxa"/>
            <w:vAlign w:val="center"/>
          </w:tcPr>
          <w:p w14:paraId="7EBA33FF" w14:textId="5E259B5E" w:rsidR="001E3DB9" w:rsidRPr="00365C2F" w:rsidRDefault="001E3DB9" w:rsidP="00F237F6">
            <w:pPr>
              <w:jc w:val="center"/>
            </w:pPr>
            <w:r w:rsidRPr="00365C2F">
              <w:t>2</w:t>
            </w:r>
          </w:p>
        </w:tc>
        <w:tc>
          <w:tcPr>
            <w:tcW w:w="2268" w:type="dxa"/>
            <w:vAlign w:val="center"/>
          </w:tcPr>
          <w:p w14:paraId="4869A736" w14:textId="7FCAE147" w:rsidR="001E3DB9" w:rsidRPr="00365C2F" w:rsidRDefault="00EB2E28" w:rsidP="00202167">
            <w:pPr>
              <w:jc w:val="both"/>
              <w:rPr>
                <w:shd w:val="clear" w:color="auto" w:fill="FFFFFF"/>
              </w:rPr>
            </w:pPr>
            <w:r w:rsidRPr="00365C2F">
              <w:rPr>
                <w:color w:val="1E2F41"/>
              </w:rPr>
              <w:t>Cấp lại Giấy chứng nhận kiểm định, Tem kiểm định an toàn kỹ thuật và bảo vệ môi trường cho xe cơ giới (trừ xe mô tô, xe gắn máy), xe máy chuyên dùng</w:t>
            </w:r>
          </w:p>
        </w:tc>
        <w:tc>
          <w:tcPr>
            <w:tcW w:w="1417" w:type="dxa"/>
            <w:vAlign w:val="center"/>
          </w:tcPr>
          <w:p w14:paraId="184099E9" w14:textId="5AE2025E" w:rsidR="001E3DB9" w:rsidRPr="00365C2F" w:rsidRDefault="001E3DB9" w:rsidP="00202167">
            <w:pPr>
              <w:jc w:val="center"/>
              <w:rPr>
                <w:color w:val="FF0000"/>
              </w:rPr>
            </w:pPr>
            <w:r w:rsidRPr="00365C2F">
              <w:rPr>
                <w:color w:val="000000" w:themeColor="text1"/>
                <w:shd w:val="clear" w:color="auto" w:fill="FFFFFF"/>
              </w:rPr>
              <w:t>1.013092</w:t>
            </w:r>
          </w:p>
        </w:tc>
        <w:tc>
          <w:tcPr>
            <w:tcW w:w="2160" w:type="dxa"/>
            <w:vAlign w:val="center"/>
          </w:tcPr>
          <w:p w14:paraId="04826CE4" w14:textId="11C0E1AF" w:rsidR="001E3DB9" w:rsidRPr="00365C2F" w:rsidRDefault="001E3DB9" w:rsidP="00202167">
            <w:pPr>
              <w:jc w:val="both"/>
              <w:rPr>
                <w:iCs/>
                <w:lang w:val="nl-NL"/>
              </w:rPr>
            </w:pPr>
            <w:r w:rsidRPr="00365C2F">
              <w:t xml:space="preserve">- Trường hợp bị sai thông tin, bị hỏng: </w:t>
            </w:r>
            <w:r w:rsidRPr="00365C2F">
              <w:rPr>
                <w:iCs/>
                <w:lang w:val="nl-NL"/>
              </w:rPr>
              <w:t>ngay trong ngày nhận được hồ sơ.</w:t>
            </w:r>
          </w:p>
          <w:p w14:paraId="7302B574" w14:textId="4DDBAEEE" w:rsidR="001E3DB9" w:rsidRPr="00365C2F" w:rsidRDefault="001E3DB9" w:rsidP="00202167">
            <w:pPr>
              <w:widowControl w:val="0"/>
              <w:autoSpaceDE w:val="0"/>
              <w:autoSpaceDN w:val="0"/>
              <w:jc w:val="both"/>
              <w:rPr>
                <w:shd w:val="clear" w:color="auto" w:fill="FFFFFF"/>
              </w:rPr>
            </w:pPr>
            <w:r w:rsidRPr="00365C2F">
              <w:rPr>
                <w:spacing w:val="-4"/>
                <w:lang w:val="nl-NL"/>
              </w:rPr>
              <w:t>- Trường hợp bị mất: 15 ngày kể từ ngày đăng cảnh báo</w:t>
            </w:r>
            <w:r w:rsidR="00C34883" w:rsidRPr="00365C2F">
              <w:rPr>
                <w:spacing w:val="-4"/>
                <w:lang w:val="nl-NL"/>
              </w:rPr>
              <w:t>.</w:t>
            </w:r>
          </w:p>
        </w:tc>
        <w:tc>
          <w:tcPr>
            <w:tcW w:w="1993" w:type="dxa"/>
            <w:vAlign w:val="center"/>
          </w:tcPr>
          <w:p w14:paraId="6F7E35AC" w14:textId="16FDE2D0" w:rsidR="001E3DB9" w:rsidRPr="00365C2F" w:rsidRDefault="001E3DB9" w:rsidP="00202167">
            <w:pPr>
              <w:jc w:val="both"/>
              <w:rPr>
                <w:bCs/>
                <w:color w:val="000000" w:themeColor="text1"/>
              </w:rPr>
            </w:pPr>
            <w:r w:rsidRPr="00365C2F">
              <w:rPr>
                <w:bCs/>
                <w:color w:val="000000" w:themeColor="text1"/>
              </w:rPr>
              <w:t>-</w:t>
            </w:r>
            <w:r w:rsidR="00F83E78">
              <w:rPr>
                <w:bCs/>
                <w:color w:val="000000" w:themeColor="text1"/>
              </w:rPr>
              <w:t xml:space="preserve"> </w:t>
            </w:r>
            <w:r w:rsidRPr="00365C2F">
              <w:rPr>
                <w:bCs/>
                <w:color w:val="000000" w:themeColor="text1"/>
              </w:rPr>
              <w:t xml:space="preserve">Cơ quan tiếp nhận và thực hiện giải quyết TTHC: Đơn vị đăng kiểm </w:t>
            </w:r>
          </w:p>
          <w:p w14:paraId="49F80AFE" w14:textId="57DE007E" w:rsidR="001E3DB9" w:rsidRPr="00365C2F" w:rsidRDefault="001E3DB9" w:rsidP="00202167">
            <w:pPr>
              <w:jc w:val="both"/>
              <w:rPr>
                <w:bCs/>
              </w:rPr>
            </w:pPr>
            <w:r w:rsidRPr="00365C2F">
              <w:rPr>
                <w:bCs/>
                <w:color w:val="000000" w:themeColor="text1"/>
              </w:rPr>
              <w:t xml:space="preserve">-Địa điểm tiếp nhận hồ sơ: Đơn vị đăng kiểm </w:t>
            </w:r>
          </w:p>
        </w:tc>
        <w:tc>
          <w:tcPr>
            <w:tcW w:w="1946" w:type="dxa"/>
            <w:vAlign w:val="center"/>
          </w:tcPr>
          <w:p w14:paraId="4BCA8E36" w14:textId="7A42C55C" w:rsidR="001E3DB9" w:rsidRPr="00365C2F" w:rsidRDefault="001E3DB9" w:rsidP="00202167">
            <w:pPr>
              <w:jc w:val="center"/>
            </w:pPr>
            <w:r w:rsidRPr="00365C2F">
              <w:rPr>
                <w:lang w:val="sv-SE"/>
              </w:rPr>
              <w:t xml:space="preserve">23.000 đồng/01 Giấy chứng nhận </w:t>
            </w:r>
          </w:p>
        </w:tc>
        <w:tc>
          <w:tcPr>
            <w:tcW w:w="1134" w:type="dxa"/>
            <w:vAlign w:val="center"/>
          </w:tcPr>
          <w:p w14:paraId="34BE8296" w14:textId="0B5C2070" w:rsidR="001E3DB9" w:rsidRPr="00365C2F" w:rsidRDefault="001E3DB9" w:rsidP="00202167">
            <w:pPr>
              <w:jc w:val="center"/>
              <w:rPr>
                <w:bCs/>
              </w:rPr>
            </w:pPr>
            <w:r w:rsidRPr="00365C2F">
              <w:rPr>
                <w:bCs/>
              </w:rPr>
              <w:t>Toàn trình</w:t>
            </w:r>
          </w:p>
        </w:tc>
        <w:tc>
          <w:tcPr>
            <w:tcW w:w="2557" w:type="dxa"/>
            <w:vAlign w:val="center"/>
          </w:tcPr>
          <w:p w14:paraId="5721D1C4" w14:textId="73939249" w:rsidR="00824933" w:rsidRPr="00365C2F" w:rsidRDefault="001E3DB9" w:rsidP="00E94180">
            <w:pPr>
              <w:jc w:val="center"/>
              <w:rPr>
                <w:lang w:val="sv-SE"/>
              </w:rPr>
            </w:pPr>
            <w:r w:rsidRPr="00365C2F">
              <w:rPr>
                <w:lang w:val="sv-SE"/>
              </w:rPr>
              <w:t xml:space="preserve">- Thông tư số 47/2024/TT-BGTVT ngày 15 tháng 11 năm 2024 của </w:t>
            </w:r>
            <w:r w:rsidR="00824933" w:rsidRPr="00365C2F">
              <w:rPr>
                <w:lang w:val="sv-SE"/>
              </w:rPr>
              <w:t>Bộ Giao thông vận tải.</w:t>
            </w:r>
          </w:p>
          <w:p w14:paraId="0BA48D96" w14:textId="1BDC84BB" w:rsidR="001E3DB9" w:rsidRPr="00365C2F" w:rsidRDefault="001E3DB9" w:rsidP="00E94180">
            <w:pPr>
              <w:jc w:val="center"/>
            </w:pPr>
            <w:r w:rsidRPr="00365C2F">
              <w:t xml:space="preserve">- Thông tư số 11/2024/TT-BGTVT ngày 26 tháng 4 năm 2024 của </w:t>
            </w:r>
            <w:r w:rsidR="00824933" w:rsidRPr="00365C2F">
              <w:t>Bộ Giao thông vận tải.</w:t>
            </w:r>
          </w:p>
        </w:tc>
      </w:tr>
      <w:tr w:rsidR="00C34883" w:rsidRPr="00365C2F" w14:paraId="5BB8CD87" w14:textId="77777777" w:rsidTr="00F237F6">
        <w:trPr>
          <w:trHeight w:val="2495"/>
          <w:jc w:val="center"/>
        </w:trPr>
        <w:tc>
          <w:tcPr>
            <w:tcW w:w="846" w:type="dxa"/>
            <w:vAlign w:val="center"/>
          </w:tcPr>
          <w:p w14:paraId="02B57D84" w14:textId="480F6F6F" w:rsidR="00C34883" w:rsidRPr="00365C2F" w:rsidRDefault="00C34883" w:rsidP="00F237F6">
            <w:pPr>
              <w:jc w:val="center"/>
            </w:pPr>
            <w:r w:rsidRPr="00365C2F">
              <w:lastRenderedPageBreak/>
              <w:t>3</w:t>
            </w:r>
          </w:p>
        </w:tc>
        <w:tc>
          <w:tcPr>
            <w:tcW w:w="2268" w:type="dxa"/>
            <w:vAlign w:val="center"/>
          </w:tcPr>
          <w:p w14:paraId="079CD3F3" w14:textId="5B38086C" w:rsidR="00C34883" w:rsidRPr="00365C2F" w:rsidRDefault="00C34883" w:rsidP="00202167">
            <w:pPr>
              <w:jc w:val="both"/>
              <w:rPr>
                <w:shd w:val="clear" w:color="auto" w:fill="FFFFFF"/>
              </w:rPr>
            </w:pPr>
            <w:r w:rsidRPr="00365C2F">
              <w:rPr>
                <w:shd w:val="clear" w:color="auto" w:fill="FFFFFF"/>
              </w:rPr>
              <w:t>Cấp lại giấy chứng nhận cải tạo</w:t>
            </w:r>
          </w:p>
        </w:tc>
        <w:tc>
          <w:tcPr>
            <w:tcW w:w="1417" w:type="dxa"/>
            <w:vAlign w:val="center"/>
          </w:tcPr>
          <w:p w14:paraId="267BBE17" w14:textId="4D7FCA24" w:rsidR="00C34883" w:rsidRPr="00365C2F" w:rsidRDefault="00C34883" w:rsidP="00202167">
            <w:pPr>
              <w:jc w:val="center"/>
              <w:rPr>
                <w:color w:val="000000" w:themeColor="text1"/>
                <w:shd w:val="clear" w:color="auto" w:fill="FFFFFF"/>
              </w:rPr>
            </w:pPr>
            <w:r w:rsidRPr="00365C2F">
              <w:rPr>
                <w:color w:val="000000" w:themeColor="text1"/>
                <w:shd w:val="clear" w:color="auto" w:fill="FFFFFF"/>
              </w:rPr>
              <w:t>1.013097</w:t>
            </w:r>
          </w:p>
        </w:tc>
        <w:tc>
          <w:tcPr>
            <w:tcW w:w="2160" w:type="dxa"/>
            <w:vAlign w:val="center"/>
          </w:tcPr>
          <w:p w14:paraId="52CEC74F" w14:textId="77777777" w:rsidR="00C34883" w:rsidRPr="00365C2F" w:rsidRDefault="00C34883" w:rsidP="00202167">
            <w:pPr>
              <w:jc w:val="both"/>
              <w:rPr>
                <w:iCs/>
                <w:lang w:val="nl-NL"/>
              </w:rPr>
            </w:pPr>
            <w:r w:rsidRPr="00365C2F">
              <w:rPr>
                <w:iCs/>
                <w:lang w:val="nl-NL"/>
              </w:rPr>
              <w:t>- Trường hợp bị mất, hỏng, sai thông tin:</w:t>
            </w:r>
          </w:p>
          <w:p w14:paraId="109489C5" w14:textId="77777777" w:rsidR="00C34883" w:rsidRPr="00365C2F" w:rsidRDefault="00C34883" w:rsidP="00202167">
            <w:pPr>
              <w:jc w:val="both"/>
              <w:rPr>
                <w:spacing w:val="-4"/>
                <w:lang w:val="nl-NL"/>
              </w:rPr>
            </w:pPr>
            <w:r w:rsidRPr="00365C2F">
              <w:rPr>
                <w:iCs/>
                <w:lang w:val="nl-NL"/>
              </w:rPr>
              <w:t>+</w:t>
            </w:r>
            <w:r w:rsidRPr="00365C2F">
              <w:rPr>
                <w:spacing w:val="-4"/>
                <w:lang w:val="nl-NL"/>
              </w:rPr>
              <w:t xml:space="preserve"> 01 ngày làm việc kể từ thời điểm nhận được hồ sơ đối với trường hợp hồ sơ lưu trữ tại cơ sở đăng kiểm; </w:t>
            </w:r>
          </w:p>
          <w:p w14:paraId="718F70F1" w14:textId="21DF2656" w:rsidR="00C34883" w:rsidRPr="00365C2F" w:rsidRDefault="00C34883" w:rsidP="00202167">
            <w:pPr>
              <w:jc w:val="both"/>
              <w:rPr>
                <w:iCs/>
                <w:lang w:val="nl-NL"/>
              </w:rPr>
            </w:pPr>
            <w:r w:rsidRPr="00365C2F">
              <w:rPr>
                <w:spacing w:val="-4"/>
                <w:lang w:val="nl-NL"/>
              </w:rPr>
              <w:t>+ 03 ngày làm việc kể từ thời điểm nhận được hồ sơ đối với trường hợp hồ sơ lưu trữ tại cơ sở đăng kiểm khác.</w:t>
            </w:r>
          </w:p>
          <w:p w14:paraId="26ECBD1F" w14:textId="5C0C2EFC" w:rsidR="00C34883" w:rsidRPr="00365C2F" w:rsidRDefault="00C34883" w:rsidP="00202167">
            <w:pPr>
              <w:jc w:val="both"/>
              <w:rPr>
                <w:iCs/>
                <w:lang w:val="nl-NL"/>
              </w:rPr>
            </w:pPr>
            <w:r w:rsidRPr="00365C2F">
              <w:rPr>
                <w:iCs/>
                <w:lang w:val="nl-NL"/>
              </w:rPr>
              <w:t xml:space="preserve">- Trường hợp giấy chứng nhận có thời hạn: </w:t>
            </w:r>
            <w:r w:rsidRPr="00365C2F">
              <w:rPr>
                <w:spacing w:val="-4"/>
                <w:lang w:val="nl-NL"/>
              </w:rPr>
              <w:t xml:space="preserve">ngay trong ngày nhận đủ hồ sơ </w:t>
            </w:r>
            <w:r w:rsidRPr="00365C2F">
              <w:rPr>
                <w:lang w:val="nl-NL"/>
              </w:rPr>
              <w:t>và kết quả kiểm tra, đánh giá xe thực tế đạt yêu cầu.</w:t>
            </w:r>
          </w:p>
          <w:p w14:paraId="2B3AD177" w14:textId="73A2864D" w:rsidR="00C34883" w:rsidRPr="00365C2F" w:rsidRDefault="00C34883" w:rsidP="00202167">
            <w:pPr>
              <w:jc w:val="center"/>
              <w:rPr>
                <w:shd w:val="clear" w:color="auto" w:fill="FFFFFF"/>
              </w:rPr>
            </w:pPr>
          </w:p>
        </w:tc>
        <w:tc>
          <w:tcPr>
            <w:tcW w:w="1993" w:type="dxa"/>
            <w:vAlign w:val="center"/>
          </w:tcPr>
          <w:p w14:paraId="2B2BA3D6" w14:textId="6258EDD1" w:rsidR="00C34883" w:rsidRPr="00365C2F" w:rsidRDefault="00C34883" w:rsidP="00202167">
            <w:pPr>
              <w:jc w:val="both"/>
              <w:rPr>
                <w:bCs/>
                <w:color w:val="000000" w:themeColor="text1"/>
              </w:rPr>
            </w:pPr>
            <w:r w:rsidRPr="00365C2F">
              <w:rPr>
                <w:bCs/>
                <w:color w:val="000000" w:themeColor="text1"/>
              </w:rPr>
              <w:t>-</w:t>
            </w:r>
            <w:r w:rsidR="00F83E78">
              <w:rPr>
                <w:bCs/>
                <w:color w:val="000000" w:themeColor="text1"/>
              </w:rPr>
              <w:t xml:space="preserve"> </w:t>
            </w:r>
            <w:r w:rsidRPr="00365C2F">
              <w:rPr>
                <w:bCs/>
                <w:color w:val="000000" w:themeColor="text1"/>
              </w:rPr>
              <w:t xml:space="preserve">Cơ quan tiếp nhận và thực hiện giải quyết TTHC: Đơn vị đăng kiểm </w:t>
            </w:r>
          </w:p>
          <w:p w14:paraId="0A82848C" w14:textId="443909B5" w:rsidR="00C34883" w:rsidRPr="00365C2F" w:rsidRDefault="00C34883" w:rsidP="00202167">
            <w:pPr>
              <w:jc w:val="both"/>
              <w:rPr>
                <w:bCs/>
              </w:rPr>
            </w:pPr>
            <w:r w:rsidRPr="00365C2F">
              <w:rPr>
                <w:bCs/>
                <w:color w:val="000000" w:themeColor="text1"/>
              </w:rPr>
              <w:t xml:space="preserve">-Địa điểm tiếp nhận hồ sơ: Đơn vị đăng kiểm </w:t>
            </w:r>
          </w:p>
        </w:tc>
        <w:tc>
          <w:tcPr>
            <w:tcW w:w="1946" w:type="dxa"/>
            <w:vAlign w:val="center"/>
          </w:tcPr>
          <w:p w14:paraId="44547207" w14:textId="77777777" w:rsidR="00C34883" w:rsidRPr="00365C2F" w:rsidRDefault="00C34883" w:rsidP="00202167">
            <w:pPr>
              <w:jc w:val="both"/>
              <w:rPr>
                <w:lang w:val="sv-SE"/>
              </w:rPr>
            </w:pPr>
            <w:r w:rsidRPr="00365C2F">
              <w:rPr>
                <w:lang w:val="sv-SE"/>
              </w:rPr>
              <w:t>- Lệ phí cấp giấy chứng nhận: 40.000 đồng/01 Giấy chứng nhận, riêng đối với ô tô dưới 10 chỗ ngồi (không bao gồm xe cứu thương): 90.000 đồng/01 Giấy chứng nhận.</w:t>
            </w:r>
          </w:p>
          <w:p w14:paraId="76A73F26" w14:textId="6F1EC5BB" w:rsidR="00C34883" w:rsidRPr="00365C2F" w:rsidRDefault="00C34883" w:rsidP="00202167">
            <w:pPr>
              <w:jc w:val="both"/>
              <w:rPr>
                <w:lang w:val="sv-SE"/>
              </w:rPr>
            </w:pPr>
            <w:r w:rsidRPr="00365C2F">
              <w:rPr>
                <w:lang w:val="sv-SE"/>
              </w:rPr>
              <w:t>- Giá dịch vụ kiểm định: Thông tư số 238/2016/TT-BTC ngày 11/12/2016</w:t>
            </w:r>
            <w:r w:rsidR="00D8119D" w:rsidRPr="00365C2F">
              <w:rPr>
                <w:lang w:val="sv-SE"/>
              </w:rPr>
              <w:t xml:space="preserve">; </w:t>
            </w:r>
            <w:r w:rsidRPr="00365C2F">
              <w:rPr>
                <w:lang w:val="sv-SE"/>
              </w:rPr>
              <w:t>Thông tư số 55/2022/TT-BTC ngày 24/8/2022 của Bộ trưởng Bộ Tài chính.</w:t>
            </w:r>
          </w:p>
          <w:p w14:paraId="4C2398D2" w14:textId="175A05F0" w:rsidR="00C34883" w:rsidRPr="00365C2F" w:rsidRDefault="00C34883" w:rsidP="00202167">
            <w:pPr>
              <w:pStyle w:val="ListParagraph"/>
              <w:ind w:left="29"/>
              <w:jc w:val="center"/>
            </w:pPr>
          </w:p>
        </w:tc>
        <w:tc>
          <w:tcPr>
            <w:tcW w:w="1134" w:type="dxa"/>
            <w:vAlign w:val="center"/>
          </w:tcPr>
          <w:p w14:paraId="0CAA7F58" w14:textId="2E6F157D" w:rsidR="00C34883" w:rsidRPr="00365C2F" w:rsidRDefault="00C34883" w:rsidP="00202167">
            <w:pPr>
              <w:jc w:val="center"/>
              <w:rPr>
                <w:bCs/>
              </w:rPr>
            </w:pPr>
            <w:r w:rsidRPr="00365C2F">
              <w:rPr>
                <w:bCs/>
              </w:rPr>
              <w:t>Toàn trình</w:t>
            </w:r>
          </w:p>
        </w:tc>
        <w:tc>
          <w:tcPr>
            <w:tcW w:w="2557" w:type="dxa"/>
            <w:vAlign w:val="center"/>
          </w:tcPr>
          <w:p w14:paraId="3CA1DA63" w14:textId="63A4032C" w:rsidR="00C34883" w:rsidRPr="00365C2F" w:rsidRDefault="00C34883" w:rsidP="00E94180">
            <w:pPr>
              <w:jc w:val="center"/>
              <w:rPr>
                <w:lang w:val="sv-SE"/>
              </w:rPr>
            </w:pPr>
            <w:r w:rsidRPr="00365C2F">
              <w:rPr>
                <w:lang w:val="sv-SE"/>
              </w:rPr>
              <w:t xml:space="preserve">- Thông tư số 47/2024/TT-BGTVT ngày 15 tháng 11 năm 2024 của </w:t>
            </w:r>
            <w:r w:rsidR="00824933" w:rsidRPr="00365C2F">
              <w:rPr>
                <w:lang w:val="sv-SE"/>
              </w:rPr>
              <w:t>Bộ Giao thông vận.</w:t>
            </w:r>
          </w:p>
          <w:p w14:paraId="2ECBFEAC" w14:textId="4290EF71" w:rsidR="00824933" w:rsidRPr="00365C2F" w:rsidRDefault="00824933" w:rsidP="00E94180">
            <w:pPr>
              <w:jc w:val="center"/>
            </w:pPr>
            <w:r w:rsidRPr="00365C2F">
              <w:t>- Thông tư số 199/2016/TT-BTC ngày 08 tháng 11 năm 2016; Thông tư số 36/2022/TT-BTC ngày 08 tháng 11 năm 2016 của Bộ Tài chính</w:t>
            </w:r>
          </w:p>
          <w:p w14:paraId="03E3F849" w14:textId="25D1DA85" w:rsidR="00C34883" w:rsidRPr="00365C2F" w:rsidRDefault="00C34883" w:rsidP="00E94180">
            <w:pPr>
              <w:jc w:val="center"/>
            </w:pPr>
            <w:r w:rsidRPr="00365C2F">
              <w:t xml:space="preserve">- Thông tư số 238/2016/TT-BTC ngày 11 tháng 12 năm 2016; Thông tư số 55/2022/TT-BTC ngày 24 tháng 8 năm 2022 </w:t>
            </w:r>
            <w:r w:rsidR="00824933" w:rsidRPr="00365C2F">
              <w:t>của Bộ Tài chính</w:t>
            </w:r>
          </w:p>
        </w:tc>
      </w:tr>
      <w:tr w:rsidR="00D8119D" w:rsidRPr="00365C2F" w14:paraId="3CF169A3" w14:textId="77777777" w:rsidTr="00F237F6">
        <w:trPr>
          <w:trHeight w:val="3286"/>
          <w:jc w:val="center"/>
        </w:trPr>
        <w:tc>
          <w:tcPr>
            <w:tcW w:w="846" w:type="dxa"/>
            <w:vAlign w:val="center"/>
          </w:tcPr>
          <w:p w14:paraId="72CAD74F" w14:textId="6F727B25" w:rsidR="00D8119D" w:rsidRPr="00365C2F" w:rsidRDefault="00D8119D" w:rsidP="00F237F6">
            <w:pPr>
              <w:jc w:val="center"/>
            </w:pPr>
            <w:r w:rsidRPr="00365C2F">
              <w:lastRenderedPageBreak/>
              <w:t>4</w:t>
            </w:r>
          </w:p>
        </w:tc>
        <w:tc>
          <w:tcPr>
            <w:tcW w:w="2268" w:type="dxa"/>
            <w:vAlign w:val="center"/>
          </w:tcPr>
          <w:p w14:paraId="6AB2F426" w14:textId="21F5DAD6" w:rsidR="00D8119D" w:rsidRPr="00365C2F" w:rsidRDefault="002A3468" w:rsidP="00202167">
            <w:pPr>
              <w:jc w:val="both"/>
              <w:rPr>
                <w:shd w:val="clear" w:color="auto" w:fill="FFFFFF"/>
              </w:rPr>
            </w:pPr>
            <w:r w:rsidRPr="00365C2F">
              <w:rPr>
                <w:color w:val="000000" w:themeColor="text1"/>
                <w:shd w:val="clear" w:color="auto" w:fill="FFFFFF"/>
              </w:rPr>
              <w:t xml:space="preserve">Chứng nhận </w:t>
            </w:r>
            <w:r w:rsidR="00D8119D" w:rsidRPr="00365C2F">
              <w:rPr>
                <w:shd w:val="clear" w:color="auto" w:fill="FFFFFF"/>
              </w:rPr>
              <w:t>kiểm định khí thải xe mô tô, xe gắn máy</w:t>
            </w:r>
          </w:p>
        </w:tc>
        <w:tc>
          <w:tcPr>
            <w:tcW w:w="1417" w:type="dxa"/>
            <w:vAlign w:val="center"/>
          </w:tcPr>
          <w:p w14:paraId="6E4D38C8" w14:textId="2908F522" w:rsidR="00D8119D" w:rsidRPr="00365C2F" w:rsidRDefault="00D8119D" w:rsidP="00202167">
            <w:pPr>
              <w:jc w:val="center"/>
              <w:rPr>
                <w:color w:val="FF0000"/>
              </w:rPr>
            </w:pPr>
            <w:r w:rsidRPr="00365C2F">
              <w:rPr>
                <w:color w:val="000000" w:themeColor="text1"/>
                <w:shd w:val="clear" w:color="auto" w:fill="FFFFFF"/>
              </w:rPr>
              <w:t>1.013101</w:t>
            </w:r>
          </w:p>
        </w:tc>
        <w:tc>
          <w:tcPr>
            <w:tcW w:w="2160" w:type="dxa"/>
            <w:vAlign w:val="center"/>
          </w:tcPr>
          <w:p w14:paraId="68F3C185" w14:textId="10328737" w:rsidR="00D8119D" w:rsidRPr="00365C2F" w:rsidRDefault="00D8119D" w:rsidP="00202167">
            <w:pPr>
              <w:jc w:val="both"/>
              <w:rPr>
                <w:iCs/>
                <w:lang w:val="nl-NL"/>
              </w:rPr>
            </w:pPr>
            <w:r w:rsidRPr="00365C2F">
              <w:t>- Nộp trực tiếp</w:t>
            </w:r>
            <w:r w:rsidRPr="00365C2F">
              <w:rPr>
                <w:spacing w:val="-4"/>
                <w:lang w:val="nl-NL"/>
              </w:rPr>
              <w:t>: ngay trong ngày nhận đủ hồ sơ.</w:t>
            </w:r>
          </w:p>
          <w:p w14:paraId="6A53F7A9" w14:textId="62A2CDEC" w:rsidR="00D8119D" w:rsidRPr="00365C2F" w:rsidRDefault="00D8119D" w:rsidP="00202167">
            <w:pPr>
              <w:widowControl w:val="0"/>
              <w:autoSpaceDE w:val="0"/>
              <w:autoSpaceDN w:val="0"/>
              <w:jc w:val="both"/>
              <w:rPr>
                <w:spacing w:val="-4"/>
                <w:lang w:val="nl-NL"/>
              </w:rPr>
            </w:pPr>
            <w:r w:rsidRPr="00365C2F">
              <w:rPr>
                <w:spacing w:val="-4"/>
                <w:lang w:val="nl-NL"/>
              </w:rPr>
              <w:t xml:space="preserve">- Nộp qua hệ thống trực tuyến: ngay trong ngày </w:t>
            </w:r>
            <w:r w:rsidRPr="00365C2F">
              <w:rPr>
                <w:lang w:val="nl-NL"/>
              </w:rPr>
              <w:t>khi chủ xe đưa xe mô tô, xe gắn máy đến</w:t>
            </w:r>
            <w:r w:rsidRPr="00365C2F">
              <w:rPr>
                <w:spacing w:val="-4"/>
                <w:lang w:val="nl-NL"/>
              </w:rPr>
              <w:t>.</w:t>
            </w:r>
          </w:p>
          <w:p w14:paraId="3F453D16" w14:textId="1366BB99" w:rsidR="00D8119D" w:rsidRPr="00365C2F" w:rsidRDefault="00D8119D" w:rsidP="00202167">
            <w:pPr>
              <w:jc w:val="center"/>
              <w:rPr>
                <w:shd w:val="clear" w:color="auto" w:fill="FFFFFF"/>
              </w:rPr>
            </w:pPr>
          </w:p>
        </w:tc>
        <w:tc>
          <w:tcPr>
            <w:tcW w:w="1993" w:type="dxa"/>
            <w:vAlign w:val="center"/>
          </w:tcPr>
          <w:p w14:paraId="148E9199" w14:textId="439CC7F8" w:rsidR="00D8119D" w:rsidRPr="00365C2F" w:rsidRDefault="00D8119D" w:rsidP="00202167">
            <w:pPr>
              <w:jc w:val="both"/>
              <w:rPr>
                <w:bCs/>
                <w:color w:val="000000" w:themeColor="text1"/>
              </w:rPr>
            </w:pPr>
            <w:r w:rsidRPr="00365C2F">
              <w:rPr>
                <w:bCs/>
                <w:color w:val="000000" w:themeColor="text1"/>
              </w:rPr>
              <w:t>-</w:t>
            </w:r>
            <w:r w:rsidR="00F83E78">
              <w:rPr>
                <w:bCs/>
                <w:color w:val="000000" w:themeColor="text1"/>
              </w:rPr>
              <w:t xml:space="preserve"> </w:t>
            </w:r>
            <w:r w:rsidRPr="00365C2F">
              <w:rPr>
                <w:bCs/>
                <w:color w:val="000000" w:themeColor="text1"/>
              </w:rPr>
              <w:t xml:space="preserve">Cơ quan tiếp nhận và thực hiện giải quyết TTHC: Đơn vị đăng kiểm </w:t>
            </w:r>
          </w:p>
          <w:p w14:paraId="5E454A8F" w14:textId="3C7449B6" w:rsidR="00D8119D" w:rsidRPr="00365C2F" w:rsidRDefault="00D8119D" w:rsidP="00202167">
            <w:pPr>
              <w:jc w:val="both"/>
              <w:rPr>
                <w:bCs/>
              </w:rPr>
            </w:pPr>
            <w:r w:rsidRPr="00365C2F">
              <w:rPr>
                <w:bCs/>
                <w:color w:val="000000" w:themeColor="text1"/>
              </w:rPr>
              <w:t xml:space="preserve">-Địa điểm tiếp nhận hồ sơ: Đơn vị đăng kiểm </w:t>
            </w:r>
          </w:p>
        </w:tc>
        <w:tc>
          <w:tcPr>
            <w:tcW w:w="1946" w:type="dxa"/>
            <w:vAlign w:val="center"/>
          </w:tcPr>
          <w:p w14:paraId="65EE6E07" w14:textId="77777777" w:rsidR="00D8119D" w:rsidRPr="00365C2F" w:rsidRDefault="00D8119D" w:rsidP="00202167">
            <w:pPr>
              <w:jc w:val="both"/>
              <w:rPr>
                <w:lang w:val="sv-SE"/>
              </w:rPr>
            </w:pPr>
            <w:r w:rsidRPr="00365C2F">
              <w:rPr>
                <w:lang w:val="sv-SE"/>
              </w:rPr>
              <w:t xml:space="preserve">Theo quy định của Bộ trưởng Bộ Tài chính. </w:t>
            </w:r>
          </w:p>
          <w:p w14:paraId="234A3A6D" w14:textId="6291EEF6" w:rsidR="00D8119D" w:rsidRPr="00365C2F" w:rsidRDefault="00D8119D" w:rsidP="00202167">
            <w:pPr>
              <w:pStyle w:val="ListParagraph"/>
              <w:ind w:left="29"/>
              <w:jc w:val="center"/>
            </w:pPr>
          </w:p>
        </w:tc>
        <w:tc>
          <w:tcPr>
            <w:tcW w:w="1134" w:type="dxa"/>
            <w:vAlign w:val="center"/>
          </w:tcPr>
          <w:p w14:paraId="71B01F57" w14:textId="4E14040E" w:rsidR="00D8119D" w:rsidRPr="00365C2F" w:rsidRDefault="00EB2E28" w:rsidP="00202167">
            <w:pPr>
              <w:jc w:val="center"/>
              <w:rPr>
                <w:bCs/>
              </w:rPr>
            </w:pPr>
            <w:r w:rsidRPr="00365C2F">
              <w:rPr>
                <w:bCs/>
              </w:rPr>
              <w:t>Một phần</w:t>
            </w:r>
          </w:p>
        </w:tc>
        <w:tc>
          <w:tcPr>
            <w:tcW w:w="2557" w:type="dxa"/>
            <w:vAlign w:val="center"/>
          </w:tcPr>
          <w:p w14:paraId="0CAF5235" w14:textId="7544534E" w:rsidR="00D8119D" w:rsidRPr="00365C2F" w:rsidRDefault="00D8119D" w:rsidP="00E94180">
            <w:pPr>
              <w:jc w:val="center"/>
            </w:pPr>
            <w:r w:rsidRPr="00365C2F">
              <w:rPr>
                <w:lang w:val="sv-SE"/>
              </w:rPr>
              <w:t xml:space="preserve">- Thông tư số 47/2024/TT-BGTVT ngày 15 tháng 11 năm 2024 của </w:t>
            </w:r>
            <w:r w:rsidR="00824933" w:rsidRPr="00365C2F">
              <w:rPr>
                <w:lang w:val="sv-SE"/>
              </w:rPr>
              <w:t>Bộ Giao thông vận tải.</w:t>
            </w:r>
          </w:p>
        </w:tc>
      </w:tr>
      <w:tr w:rsidR="00D8119D" w:rsidRPr="00365C2F" w14:paraId="4A9F3944" w14:textId="77777777" w:rsidTr="00F237F6">
        <w:trPr>
          <w:trHeight w:val="3530"/>
          <w:jc w:val="center"/>
        </w:trPr>
        <w:tc>
          <w:tcPr>
            <w:tcW w:w="846" w:type="dxa"/>
            <w:vAlign w:val="center"/>
          </w:tcPr>
          <w:p w14:paraId="266C3A6A" w14:textId="4DA286F5" w:rsidR="00D8119D" w:rsidRPr="00365C2F" w:rsidRDefault="00D8119D" w:rsidP="00F237F6">
            <w:pPr>
              <w:jc w:val="center"/>
            </w:pPr>
            <w:r w:rsidRPr="00365C2F">
              <w:t>5</w:t>
            </w:r>
          </w:p>
        </w:tc>
        <w:tc>
          <w:tcPr>
            <w:tcW w:w="2268" w:type="dxa"/>
            <w:vAlign w:val="center"/>
          </w:tcPr>
          <w:p w14:paraId="01E32177" w14:textId="77777777" w:rsidR="00D8119D" w:rsidRPr="00365C2F" w:rsidRDefault="00D8119D" w:rsidP="00202167">
            <w:pPr>
              <w:pStyle w:val="Heading1"/>
              <w:spacing w:before="0" w:after="0"/>
              <w:jc w:val="both"/>
              <w:outlineLvl w:val="0"/>
              <w:rPr>
                <w:rFonts w:ascii="Times New Roman" w:hAnsi="Times New Roman"/>
                <w:b w:val="0"/>
                <w:bCs w:val="0"/>
                <w:sz w:val="24"/>
                <w:szCs w:val="24"/>
                <w:lang w:val="en-US"/>
              </w:rPr>
            </w:pPr>
            <w:r w:rsidRPr="00365C2F">
              <w:rPr>
                <w:rFonts w:ascii="Times New Roman" w:hAnsi="Times New Roman"/>
                <w:b w:val="0"/>
                <w:bCs w:val="0"/>
                <w:sz w:val="24"/>
                <w:szCs w:val="24"/>
              </w:rPr>
              <w:t>Cấp mới Giấy chứng nhận đủ điều kiện hoạt động kiểm định khí thải xe mô tô, xe gắn máy</w:t>
            </w:r>
          </w:p>
          <w:p w14:paraId="2109C522" w14:textId="31A884BC" w:rsidR="00D8119D" w:rsidRPr="00365C2F" w:rsidRDefault="00D8119D" w:rsidP="00202167">
            <w:pPr>
              <w:jc w:val="both"/>
              <w:rPr>
                <w:shd w:val="clear" w:color="auto" w:fill="FFFFFF"/>
              </w:rPr>
            </w:pPr>
          </w:p>
        </w:tc>
        <w:tc>
          <w:tcPr>
            <w:tcW w:w="1417" w:type="dxa"/>
            <w:vAlign w:val="center"/>
          </w:tcPr>
          <w:p w14:paraId="0EDC6DEA" w14:textId="0493E106" w:rsidR="00D8119D" w:rsidRPr="00365C2F" w:rsidRDefault="00D8119D" w:rsidP="00202167">
            <w:pPr>
              <w:jc w:val="center"/>
              <w:rPr>
                <w:color w:val="FF0000"/>
              </w:rPr>
            </w:pPr>
            <w:r w:rsidRPr="00365C2F">
              <w:rPr>
                <w:color w:val="000000" w:themeColor="text1"/>
                <w:shd w:val="clear" w:color="auto" w:fill="FFFFFF"/>
              </w:rPr>
              <w:t>1.013105</w:t>
            </w:r>
          </w:p>
        </w:tc>
        <w:tc>
          <w:tcPr>
            <w:tcW w:w="2160" w:type="dxa"/>
            <w:vAlign w:val="center"/>
          </w:tcPr>
          <w:p w14:paraId="1BDEF8F6" w14:textId="44C690EC" w:rsidR="00D8119D" w:rsidRPr="00365C2F" w:rsidRDefault="00EB2E28" w:rsidP="00202167">
            <w:pPr>
              <w:jc w:val="both"/>
              <w:rPr>
                <w:iCs/>
              </w:rPr>
            </w:pPr>
            <w:r w:rsidRPr="00365C2F">
              <w:t xml:space="preserve">23 </w:t>
            </w:r>
            <w:r w:rsidR="00D8119D" w:rsidRPr="00365C2F">
              <w:rPr>
                <w:iCs/>
                <w:lang w:val="vi-VN"/>
              </w:rPr>
              <w:t>ngày làm việc</w:t>
            </w:r>
            <w:r w:rsidRPr="00365C2F">
              <w:rPr>
                <w:iCs/>
              </w:rPr>
              <w:t>, trong đó:</w:t>
            </w:r>
          </w:p>
          <w:p w14:paraId="10B27E96" w14:textId="4D2082AB" w:rsidR="00EB2E28" w:rsidRPr="00365C2F" w:rsidRDefault="00EB2E28" w:rsidP="00202167">
            <w:pPr>
              <w:jc w:val="both"/>
              <w:rPr>
                <w:iCs/>
              </w:rPr>
            </w:pPr>
            <w:r w:rsidRPr="00365C2F">
              <w:rPr>
                <w:iCs/>
              </w:rPr>
              <w:t>+ Tiếp nhận hồ sơ: 03 ngày làm việc;</w:t>
            </w:r>
          </w:p>
          <w:p w14:paraId="5401BEDF" w14:textId="52480572" w:rsidR="00D8119D" w:rsidRPr="00365C2F" w:rsidRDefault="00EB2E28" w:rsidP="00202167">
            <w:pPr>
              <w:jc w:val="both"/>
              <w:rPr>
                <w:lang w:val="fr-FR"/>
              </w:rPr>
            </w:pPr>
            <w:r w:rsidRPr="00365C2F">
              <w:rPr>
                <w:iCs/>
              </w:rPr>
              <w:t xml:space="preserve">+ </w:t>
            </w:r>
            <w:r w:rsidR="00D8119D" w:rsidRPr="00365C2F">
              <w:rPr>
                <w:lang w:val="vi-VN"/>
              </w:rPr>
              <w:t xml:space="preserve"> Kiểm tra, đánh giá thực tế: </w:t>
            </w:r>
            <w:r w:rsidR="00D8119D" w:rsidRPr="00365C2F">
              <w:rPr>
                <w:lang w:val="fr-FR"/>
              </w:rPr>
              <w:t>15 ngày kể từ ngày lập thông báo tiếp nhận hồ sơ</w:t>
            </w:r>
            <w:r w:rsidRPr="00365C2F">
              <w:rPr>
                <w:lang w:val="fr-FR"/>
              </w:rPr>
              <w:t>.</w:t>
            </w:r>
          </w:p>
          <w:p w14:paraId="4E444266" w14:textId="78B79701" w:rsidR="00D8119D" w:rsidRPr="00365C2F" w:rsidRDefault="00EB2E28" w:rsidP="00202167">
            <w:pPr>
              <w:jc w:val="both"/>
              <w:rPr>
                <w:shd w:val="clear" w:color="auto" w:fill="FFFFFF"/>
              </w:rPr>
            </w:pPr>
            <w:r w:rsidRPr="00365C2F">
              <w:rPr>
                <w:lang w:val="fr-FR"/>
              </w:rPr>
              <w:t xml:space="preserve">+ </w:t>
            </w:r>
            <w:r w:rsidR="00D8119D" w:rsidRPr="00365C2F">
              <w:rPr>
                <w:lang w:val="vi-VN"/>
              </w:rPr>
              <w:t xml:space="preserve">Cấp Giấy chứng nhận: </w:t>
            </w:r>
            <w:r w:rsidR="00D8119D" w:rsidRPr="00365C2F">
              <w:rPr>
                <w:lang w:val="fr-FR"/>
              </w:rPr>
              <w:t>05 ngày làm việc kể từ ngày kết thúc việc kiểm tra, đánh giá thực tế đạt yêu cầu</w:t>
            </w:r>
            <w:r w:rsidR="00D8119D" w:rsidRPr="00365C2F">
              <w:rPr>
                <w:lang w:val="vi-VN"/>
              </w:rPr>
              <w:t>.</w:t>
            </w:r>
          </w:p>
        </w:tc>
        <w:tc>
          <w:tcPr>
            <w:tcW w:w="1993" w:type="dxa"/>
            <w:vAlign w:val="center"/>
          </w:tcPr>
          <w:p w14:paraId="27AC8F80" w14:textId="5AD05B4D" w:rsidR="009035D1" w:rsidRPr="00365C2F" w:rsidRDefault="009035D1" w:rsidP="00202167">
            <w:pPr>
              <w:jc w:val="both"/>
              <w:rPr>
                <w:bCs/>
                <w:color w:val="000000" w:themeColor="text1"/>
              </w:rPr>
            </w:pPr>
            <w:r w:rsidRPr="00365C2F">
              <w:rPr>
                <w:bCs/>
                <w:color w:val="000000" w:themeColor="text1"/>
              </w:rPr>
              <w:t>- Cơ quan thực hiện TTHC: Sở Giao thông vận tải.</w:t>
            </w:r>
          </w:p>
          <w:p w14:paraId="2209F772" w14:textId="77777777" w:rsidR="009035D1" w:rsidRPr="00365C2F" w:rsidRDefault="009035D1" w:rsidP="00202167">
            <w:pPr>
              <w:jc w:val="both"/>
              <w:rPr>
                <w:bCs/>
                <w:color w:val="000000" w:themeColor="text1"/>
              </w:rPr>
            </w:pPr>
            <w:r w:rsidRPr="00365C2F">
              <w:rPr>
                <w:bCs/>
                <w:color w:val="000000" w:themeColor="text1"/>
              </w:rPr>
              <w:t>- Cơ quan có thẩm quyền giải quyết: Sở Giao thông vận tải.</w:t>
            </w:r>
          </w:p>
          <w:p w14:paraId="2BB419F9" w14:textId="73669100" w:rsidR="00D8119D" w:rsidRPr="00365C2F" w:rsidRDefault="009035D1" w:rsidP="00202167">
            <w:pPr>
              <w:jc w:val="both"/>
              <w:rPr>
                <w:bCs/>
              </w:rPr>
            </w:pPr>
            <w:r w:rsidRPr="00365C2F">
              <w:rPr>
                <w:bCs/>
                <w:color w:val="000000" w:themeColor="text1"/>
              </w:rPr>
              <w:t>- Địa điểm tiếp nhận hồ sơ: Trung tâm Phục vụ hành chính công tỉnh.</w:t>
            </w:r>
          </w:p>
        </w:tc>
        <w:tc>
          <w:tcPr>
            <w:tcW w:w="1946" w:type="dxa"/>
            <w:vAlign w:val="center"/>
          </w:tcPr>
          <w:p w14:paraId="375533E8" w14:textId="41121E48" w:rsidR="00D8119D" w:rsidRPr="00365C2F" w:rsidRDefault="00D8119D" w:rsidP="00202167">
            <w:pPr>
              <w:pStyle w:val="ListParagraph"/>
              <w:ind w:left="29"/>
              <w:jc w:val="center"/>
            </w:pPr>
            <w:r w:rsidRPr="00365C2F">
              <w:rPr>
                <w:lang w:val="sv-SE"/>
              </w:rPr>
              <w:t>Không</w:t>
            </w:r>
            <w:r w:rsidRPr="00365C2F">
              <w:rPr>
                <w:lang w:val="vi-VN"/>
              </w:rPr>
              <w:t xml:space="preserve"> </w:t>
            </w:r>
          </w:p>
        </w:tc>
        <w:tc>
          <w:tcPr>
            <w:tcW w:w="1134" w:type="dxa"/>
            <w:vAlign w:val="center"/>
          </w:tcPr>
          <w:p w14:paraId="5AB52BF0" w14:textId="446EBD0F" w:rsidR="00D8119D" w:rsidRPr="00365C2F" w:rsidRDefault="00EB2E28" w:rsidP="00202167">
            <w:pPr>
              <w:jc w:val="center"/>
              <w:rPr>
                <w:bCs/>
              </w:rPr>
            </w:pPr>
            <w:r w:rsidRPr="00365C2F">
              <w:rPr>
                <w:bCs/>
              </w:rPr>
              <w:t>Một phần</w:t>
            </w:r>
          </w:p>
        </w:tc>
        <w:tc>
          <w:tcPr>
            <w:tcW w:w="2557" w:type="dxa"/>
            <w:vAlign w:val="center"/>
          </w:tcPr>
          <w:p w14:paraId="73637C29" w14:textId="0B8A8686" w:rsidR="00D8119D" w:rsidRPr="00365C2F" w:rsidRDefault="00D8119D" w:rsidP="001D1D3E">
            <w:pPr>
              <w:jc w:val="center"/>
            </w:pPr>
            <w:r w:rsidRPr="00365C2F">
              <w:rPr>
                <w:lang w:val="sv-SE"/>
              </w:rPr>
              <w:t>- Thông tư số 46/2024/TT-BGTVT ngày 15 tháng 11 năm 2024 của Bộ Giao thông vận tải</w:t>
            </w:r>
          </w:p>
        </w:tc>
      </w:tr>
      <w:tr w:rsidR="00D00481" w:rsidRPr="00365C2F" w14:paraId="382922B3" w14:textId="77777777" w:rsidTr="00F237F6">
        <w:trPr>
          <w:trHeight w:val="1361"/>
          <w:jc w:val="center"/>
        </w:trPr>
        <w:tc>
          <w:tcPr>
            <w:tcW w:w="846" w:type="dxa"/>
            <w:vAlign w:val="center"/>
          </w:tcPr>
          <w:p w14:paraId="2F828FF6" w14:textId="77777777" w:rsidR="0054230C" w:rsidRPr="00365C2F" w:rsidRDefault="0054230C" w:rsidP="00F237F6">
            <w:pPr>
              <w:jc w:val="center"/>
            </w:pPr>
          </w:p>
          <w:p w14:paraId="619DCDE6" w14:textId="3ED99D05" w:rsidR="0054230C" w:rsidRPr="00365C2F" w:rsidRDefault="0054230C" w:rsidP="00F237F6">
            <w:pPr>
              <w:jc w:val="center"/>
            </w:pPr>
            <w:r w:rsidRPr="00365C2F">
              <w:t>6</w:t>
            </w:r>
          </w:p>
        </w:tc>
        <w:tc>
          <w:tcPr>
            <w:tcW w:w="2268" w:type="dxa"/>
            <w:vAlign w:val="center"/>
          </w:tcPr>
          <w:p w14:paraId="7DF0DFD2" w14:textId="3302861A" w:rsidR="0054230C" w:rsidRPr="00365C2F" w:rsidRDefault="0054230C" w:rsidP="00202167">
            <w:pPr>
              <w:pStyle w:val="Heading1"/>
              <w:spacing w:before="0" w:after="0"/>
              <w:jc w:val="both"/>
              <w:outlineLvl w:val="0"/>
              <w:rPr>
                <w:rFonts w:ascii="Times New Roman" w:hAnsi="Times New Roman"/>
                <w:b w:val="0"/>
                <w:bCs w:val="0"/>
                <w:sz w:val="24"/>
                <w:szCs w:val="24"/>
              </w:rPr>
            </w:pPr>
            <w:r w:rsidRPr="00365C2F">
              <w:rPr>
                <w:rFonts w:ascii="Times New Roman" w:hAnsi="Times New Roman"/>
                <w:b w:val="0"/>
                <w:bCs w:val="0"/>
                <w:sz w:val="24"/>
                <w:szCs w:val="24"/>
                <w:shd w:val="clear" w:color="auto" w:fill="FFFFFF"/>
              </w:rPr>
              <w:t>Cấp lại Giấy chứng nhận đủ điều kiện hoạt động kiểm định khí thải xe mô tô, xe gắn máy</w:t>
            </w:r>
          </w:p>
        </w:tc>
        <w:tc>
          <w:tcPr>
            <w:tcW w:w="1417" w:type="dxa"/>
            <w:vAlign w:val="center"/>
          </w:tcPr>
          <w:p w14:paraId="1CC77161" w14:textId="6F6055E4" w:rsidR="0054230C" w:rsidRPr="00365C2F" w:rsidRDefault="0054230C" w:rsidP="00202167">
            <w:pPr>
              <w:jc w:val="center"/>
              <w:rPr>
                <w:color w:val="FF0000"/>
                <w:shd w:val="clear" w:color="auto" w:fill="FFFFFF"/>
              </w:rPr>
            </w:pPr>
            <w:r w:rsidRPr="00365C2F">
              <w:rPr>
                <w:color w:val="000000" w:themeColor="text1"/>
                <w:shd w:val="clear" w:color="auto" w:fill="FFFFFF"/>
              </w:rPr>
              <w:t>1.013110</w:t>
            </w:r>
          </w:p>
        </w:tc>
        <w:tc>
          <w:tcPr>
            <w:tcW w:w="2160" w:type="dxa"/>
            <w:vAlign w:val="center"/>
          </w:tcPr>
          <w:p w14:paraId="38A232BF" w14:textId="6F5F2CEB" w:rsidR="0054230C" w:rsidRPr="00365C2F" w:rsidRDefault="0054230C" w:rsidP="00202167">
            <w:pPr>
              <w:jc w:val="both"/>
              <w:rPr>
                <w:i/>
              </w:rPr>
            </w:pPr>
            <w:r w:rsidRPr="00365C2F">
              <w:rPr>
                <w:iCs/>
              </w:rPr>
              <w:t>-</w:t>
            </w:r>
            <w:r w:rsidRPr="00365C2F">
              <w:rPr>
                <w:iCs/>
                <w:lang w:val="vi-VN"/>
              </w:rPr>
              <w:t xml:space="preserve"> </w:t>
            </w:r>
            <w:r w:rsidRPr="00365C2F">
              <w:rPr>
                <w:spacing w:val="-4"/>
                <w:lang w:val="nl-NL"/>
              </w:rPr>
              <w:t>Trường hợp cấp lại do bị mất</w:t>
            </w:r>
            <w:r w:rsidRPr="00365C2F">
              <w:rPr>
                <w:spacing w:val="-4"/>
                <w:lang w:val="vi-VN"/>
              </w:rPr>
              <w:t>, bị hỏng, thay đổi thông tin địa giới hành chính</w:t>
            </w:r>
            <w:r w:rsidRPr="00365C2F">
              <w:rPr>
                <w:lang w:val="vi-VN"/>
              </w:rPr>
              <w:t>:</w:t>
            </w:r>
            <w:r w:rsidRPr="00365C2F">
              <w:rPr>
                <w:i/>
              </w:rPr>
              <w:t xml:space="preserve"> </w:t>
            </w:r>
            <w:r w:rsidRPr="00365C2F">
              <w:rPr>
                <w:lang w:val="vi-VN"/>
              </w:rPr>
              <w:t>05 ngày làm việc</w:t>
            </w:r>
            <w:r w:rsidR="00FD1EA9" w:rsidRPr="00365C2F">
              <w:t>.</w:t>
            </w:r>
          </w:p>
          <w:p w14:paraId="2DA3FC46" w14:textId="77777777" w:rsidR="00924FE9" w:rsidRPr="00365C2F" w:rsidRDefault="0054230C" w:rsidP="00202167">
            <w:pPr>
              <w:jc w:val="both"/>
              <w:rPr>
                <w:iCs/>
              </w:rPr>
            </w:pPr>
            <w:r w:rsidRPr="00365C2F">
              <w:rPr>
                <w:spacing w:val="-4"/>
                <w:lang w:val="vi-VN"/>
              </w:rPr>
              <w:t>- Trường hợp cấp lại cơ sở kiểm định khí thải thay đổi vị trí; tăng thêm số lượng thiết bị kiểm tra; bị thu hồi giấy chứng nhận đủ điều kiện hoạt động kiểm định khí thải xe mô tô, xe gắn máy:</w:t>
            </w:r>
            <w:r w:rsidR="00FD1EA9" w:rsidRPr="00365C2F">
              <w:rPr>
                <w:spacing w:val="-4"/>
              </w:rPr>
              <w:t xml:space="preserve"> </w:t>
            </w:r>
            <w:r w:rsidR="00924FE9" w:rsidRPr="00365C2F">
              <w:t xml:space="preserve">23 </w:t>
            </w:r>
            <w:r w:rsidR="00924FE9" w:rsidRPr="00365C2F">
              <w:rPr>
                <w:iCs/>
                <w:lang w:val="vi-VN"/>
              </w:rPr>
              <w:t>ngày làm việc</w:t>
            </w:r>
            <w:r w:rsidR="00924FE9" w:rsidRPr="00365C2F">
              <w:rPr>
                <w:iCs/>
              </w:rPr>
              <w:t>, trong đó:</w:t>
            </w:r>
          </w:p>
          <w:p w14:paraId="0711C753" w14:textId="77777777" w:rsidR="00924FE9" w:rsidRPr="00365C2F" w:rsidRDefault="00924FE9" w:rsidP="00202167">
            <w:pPr>
              <w:jc w:val="both"/>
              <w:rPr>
                <w:iCs/>
              </w:rPr>
            </w:pPr>
            <w:r w:rsidRPr="00365C2F">
              <w:rPr>
                <w:iCs/>
              </w:rPr>
              <w:t>+ Tiếp nhận hồ sơ: 03 ngày làm việc;</w:t>
            </w:r>
          </w:p>
          <w:p w14:paraId="50186FFA" w14:textId="77777777" w:rsidR="00924FE9" w:rsidRPr="00365C2F" w:rsidRDefault="00924FE9" w:rsidP="00202167">
            <w:pPr>
              <w:jc w:val="both"/>
              <w:rPr>
                <w:lang w:val="fr-FR"/>
              </w:rPr>
            </w:pPr>
            <w:r w:rsidRPr="00365C2F">
              <w:rPr>
                <w:iCs/>
              </w:rPr>
              <w:t xml:space="preserve">+ </w:t>
            </w:r>
            <w:r w:rsidRPr="00365C2F">
              <w:rPr>
                <w:lang w:val="vi-VN"/>
              </w:rPr>
              <w:t xml:space="preserve"> Kiểm tra, đánh giá thực tế: </w:t>
            </w:r>
            <w:r w:rsidRPr="00365C2F">
              <w:rPr>
                <w:lang w:val="fr-FR"/>
              </w:rPr>
              <w:t>15 ngày kể từ ngày lập thông báo tiếp nhận hồ sơ.</w:t>
            </w:r>
          </w:p>
          <w:p w14:paraId="2A5553E8" w14:textId="7325D064" w:rsidR="0054230C" w:rsidRPr="00365C2F" w:rsidRDefault="00924FE9" w:rsidP="00202167">
            <w:pPr>
              <w:jc w:val="both"/>
            </w:pPr>
            <w:r w:rsidRPr="00365C2F">
              <w:rPr>
                <w:lang w:val="fr-FR"/>
              </w:rPr>
              <w:t xml:space="preserve">+ </w:t>
            </w:r>
            <w:r w:rsidRPr="00365C2F">
              <w:rPr>
                <w:lang w:val="vi-VN"/>
              </w:rPr>
              <w:t xml:space="preserve">Cấp Giấy chứng nhận: </w:t>
            </w:r>
            <w:r w:rsidRPr="00365C2F">
              <w:rPr>
                <w:lang w:val="fr-FR"/>
              </w:rPr>
              <w:t>05 ngày làm việc kể từ ngày kết thúc việc kiểm tra, đánh giá thực tế đạt yêu cầu</w:t>
            </w:r>
            <w:r w:rsidRPr="00365C2F">
              <w:rPr>
                <w:lang w:val="vi-VN"/>
              </w:rPr>
              <w:t>.</w:t>
            </w:r>
          </w:p>
        </w:tc>
        <w:tc>
          <w:tcPr>
            <w:tcW w:w="1993" w:type="dxa"/>
            <w:vAlign w:val="center"/>
          </w:tcPr>
          <w:p w14:paraId="7CC25DC1" w14:textId="5D73D56B" w:rsidR="009035D1" w:rsidRPr="00365C2F" w:rsidRDefault="009035D1" w:rsidP="00202167">
            <w:pPr>
              <w:jc w:val="both"/>
              <w:rPr>
                <w:bCs/>
                <w:color w:val="000000" w:themeColor="text1"/>
              </w:rPr>
            </w:pPr>
            <w:r w:rsidRPr="00365C2F">
              <w:rPr>
                <w:bCs/>
                <w:color w:val="000000" w:themeColor="text1"/>
              </w:rPr>
              <w:t>- Cơ quan thực hiện TTHC: Sở Giao thông vận tải.</w:t>
            </w:r>
          </w:p>
          <w:p w14:paraId="4793BDC8" w14:textId="77777777" w:rsidR="009035D1" w:rsidRPr="00365C2F" w:rsidRDefault="009035D1" w:rsidP="00202167">
            <w:pPr>
              <w:jc w:val="both"/>
              <w:rPr>
                <w:bCs/>
                <w:color w:val="000000" w:themeColor="text1"/>
              </w:rPr>
            </w:pPr>
            <w:r w:rsidRPr="00365C2F">
              <w:rPr>
                <w:bCs/>
                <w:color w:val="000000" w:themeColor="text1"/>
              </w:rPr>
              <w:t>- Cơ quan có thẩm quyền giải quyết: Sở Giao thông vận tải.</w:t>
            </w:r>
          </w:p>
          <w:p w14:paraId="2680B191" w14:textId="09E4877D" w:rsidR="0054230C" w:rsidRPr="00365C2F" w:rsidRDefault="009035D1" w:rsidP="00202167">
            <w:pPr>
              <w:pStyle w:val="vn4"/>
              <w:shd w:val="clear" w:color="auto" w:fill="FFFFFF"/>
              <w:spacing w:before="0" w:beforeAutospacing="0" w:after="0" w:afterAutospacing="0"/>
              <w:jc w:val="both"/>
            </w:pPr>
            <w:r w:rsidRPr="00365C2F">
              <w:rPr>
                <w:bCs/>
                <w:color w:val="000000" w:themeColor="text1"/>
              </w:rPr>
              <w:t>- Địa điểm tiếp nhận hồ sơ: Trung tâm Phục vụ hành chính công tỉnh.</w:t>
            </w:r>
          </w:p>
        </w:tc>
        <w:tc>
          <w:tcPr>
            <w:tcW w:w="1946" w:type="dxa"/>
            <w:vAlign w:val="center"/>
          </w:tcPr>
          <w:p w14:paraId="3228C9B0" w14:textId="0A092EF9" w:rsidR="0054230C" w:rsidRPr="00365C2F" w:rsidRDefault="0054230C" w:rsidP="00202167">
            <w:pPr>
              <w:pStyle w:val="ListParagraph"/>
              <w:ind w:left="29"/>
              <w:jc w:val="center"/>
              <w:rPr>
                <w:lang w:val="sv-SE"/>
              </w:rPr>
            </w:pPr>
            <w:r w:rsidRPr="00365C2F">
              <w:rPr>
                <w:lang w:val="sv-SE"/>
              </w:rPr>
              <w:t>Không</w:t>
            </w:r>
            <w:r w:rsidRPr="00365C2F">
              <w:rPr>
                <w:lang w:val="vi-VN"/>
              </w:rPr>
              <w:t xml:space="preserve"> </w:t>
            </w:r>
          </w:p>
        </w:tc>
        <w:tc>
          <w:tcPr>
            <w:tcW w:w="1134" w:type="dxa"/>
            <w:vAlign w:val="center"/>
          </w:tcPr>
          <w:p w14:paraId="61CE3FC0" w14:textId="05454F83" w:rsidR="0054230C" w:rsidRPr="00365C2F" w:rsidRDefault="00202167" w:rsidP="00202167">
            <w:pPr>
              <w:jc w:val="center"/>
              <w:rPr>
                <w:bCs/>
              </w:rPr>
            </w:pPr>
            <w:r w:rsidRPr="00365C2F">
              <w:rPr>
                <w:bCs/>
              </w:rPr>
              <w:t>Một phần</w:t>
            </w:r>
          </w:p>
        </w:tc>
        <w:tc>
          <w:tcPr>
            <w:tcW w:w="2557" w:type="dxa"/>
            <w:vAlign w:val="center"/>
          </w:tcPr>
          <w:p w14:paraId="40708849" w14:textId="5C578151" w:rsidR="0054230C" w:rsidRPr="00365C2F" w:rsidRDefault="00820CE2" w:rsidP="001D1D3E">
            <w:pPr>
              <w:jc w:val="center"/>
              <w:rPr>
                <w:lang w:val="sv-SE"/>
              </w:rPr>
            </w:pPr>
            <w:r w:rsidRPr="00365C2F">
              <w:rPr>
                <w:lang w:val="sv-SE"/>
              </w:rPr>
              <w:t>- Thông tư số 46/2024/TT-BGTVT ngày 15 tháng 11 năm 2024 của Bộ Giao thông vận tải quy định</w:t>
            </w:r>
          </w:p>
        </w:tc>
      </w:tr>
    </w:tbl>
    <w:p w14:paraId="236D1F46" w14:textId="305EE32D" w:rsidR="00BD757E" w:rsidRPr="001D1D3E" w:rsidRDefault="00893838" w:rsidP="00F83E78">
      <w:pPr>
        <w:spacing w:after="200" w:line="276" w:lineRule="auto"/>
        <w:ind w:firstLine="720"/>
        <w:rPr>
          <w:b/>
          <w:bCs/>
          <w:color w:val="000000"/>
          <w:sz w:val="28"/>
          <w:szCs w:val="28"/>
        </w:rPr>
      </w:pPr>
      <w:r w:rsidRPr="001D1D3E">
        <w:rPr>
          <w:b/>
          <w:bCs/>
          <w:color w:val="000000"/>
          <w:sz w:val="28"/>
          <w:szCs w:val="28"/>
        </w:rPr>
        <w:lastRenderedPageBreak/>
        <w:t>2. Danh mục thủ tục hành chính được sửa đổi, bổ sung</w:t>
      </w:r>
      <w:r w:rsidR="00D00481" w:rsidRPr="001D1D3E">
        <w:rPr>
          <w:b/>
          <w:bCs/>
          <w:color w:val="000000"/>
          <w:sz w:val="28"/>
          <w:szCs w:val="28"/>
        </w:rPr>
        <w:t xml:space="preserve">: </w:t>
      </w:r>
      <w:r w:rsidR="006F3BE5" w:rsidRPr="001D1D3E">
        <w:rPr>
          <w:b/>
          <w:bCs/>
          <w:color w:val="000000"/>
          <w:sz w:val="28"/>
          <w:szCs w:val="28"/>
        </w:rPr>
        <w:t>03 TTHC</w:t>
      </w:r>
    </w:p>
    <w:p w14:paraId="2C558A4F" w14:textId="77777777" w:rsidR="00BD757E" w:rsidRPr="00365C2F" w:rsidRDefault="00BD757E" w:rsidP="00BD757E">
      <w:pPr>
        <w:ind w:left="720" w:firstLine="720"/>
        <w:jc w:val="both"/>
        <w:rPr>
          <w:b/>
          <w:bCs/>
          <w:color w:val="000000"/>
        </w:rPr>
      </w:pPr>
    </w:p>
    <w:tbl>
      <w:tblPr>
        <w:tblStyle w:val="TableGrid"/>
        <w:tblW w:w="15021" w:type="dxa"/>
        <w:jc w:val="center"/>
        <w:tblLayout w:type="fixed"/>
        <w:tblLook w:val="04A0" w:firstRow="1" w:lastRow="0" w:firstColumn="1" w:lastColumn="0" w:noHBand="0" w:noVBand="1"/>
      </w:tblPr>
      <w:tblGrid>
        <w:gridCol w:w="846"/>
        <w:gridCol w:w="2545"/>
        <w:gridCol w:w="1191"/>
        <w:gridCol w:w="2353"/>
        <w:gridCol w:w="2127"/>
        <w:gridCol w:w="2693"/>
        <w:gridCol w:w="1134"/>
        <w:gridCol w:w="2132"/>
      </w:tblGrid>
      <w:tr w:rsidR="00D00481" w:rsidRPr="00365C2F" w14:paraId="42F14E4D" w14:textId="77777777" w:rsidTr="00F229B0">
        <w:trPr>
          <w:tblHeader/>
          <w:jc w:val="center"/>
        </w:trPr>
        <w:tc>
          <w:tcPr>
            <w:tcW w:w="846" w:type="dxa"/>
            <w:vAlign w:val="center"/>
          </w:tcPr>
          <w:p w14:paraId="5E468557" w14:textId="77777777" w:rsidR="00893838" w:rsidRPr="00365C2F" w:rsidRDefault="00893838" w:rsidP="00B95CD6">
            <w:pPr>
              <w:jc w:val="center"/>
              <w:rPr>
                <w:b/>
                <w:bCs/>
                <w:color w:val="000000"/>
              </w:rPr>
            </w:pPr>
            <w:r w:rsidRPr="00365C2F">
              <w:rPr>
                <w:b/>
                <w:bCs/>
                <w:color w:val="000000"/>
              </w:rPr>
              <w:t>STT</w:t>
            </w:r>
          </w:p>
        </w:tc>
        <w:tc>
          <w:tcPr>
            <w:tcW w:w="2545" w:type="dxa"/>
            <w:vAlign w:val="center"/>
          </w:tcPr>
          <w:p w14:paraId="52763F9C" w14:textId="77777777" w:rsidR="00893838" w:rsidRPr="00365C2F" w:rsidRDefault="00893838" w:rsidP="00B95CD6">
            <w:pPr>
              <w:jc w:val="center"/>
              <w:rPr>
                <w:b/>
                <w:bCs/>
                <w:color w:val="000000"/>
              </w:rPr>
            </w:pPr>
            <w:r w:rsidRPr="00365C2F">
              <w:rPr>
                <w:b/>
                <w:bCs/>
                <w:color w:val="000000"/>
              </w:rPr>
              <w:t>Tên thủ tục hành chính</w:t>
            </w:r>
          </w:p>
        </w:tc>
        <w:tc>
          <w:tcPr>
            <w:tcW w:w="1191" w:type="dxa"/>
            <w:vAlign w:val="center"/>
          </w:tcPr>
          <w:p w14:paraId="1D7317D2" w14:textId="77777777" w:rsidR="00893838" w:rsidRPr="00365C2F" w:rsidRDefault="00893838" w:rsidP="00B95CD6">
            <w:pPr>
              <w:jc w:val="center"/>
              <w:rPr>
                <w:b/>
                <w:bCs/>
                <w:color w:val="000000"/>
              </w:rPr>
            </w:pPr>
            <w:r w:rsidRPr="00365C2F">
              <w:rPr>
                <w:b/>
                <w:bCs/>
                <w:color w:val="000000"/>
              </w:rPr>
              <w:t>Mã TTHC</w:t>
            </w:r>
          </w:p>
        </w:tc>
        <w:tc>
          <w:tcPr>
            <w:tcW w:w="2353" w:type="dxa"/>
            <w:vAlign w:val="center"/>
          </w:tcPr>
          <w:p w14:paraId="63658617" w14:textId="77777777" w:rsidR="00893838" w:rsidRPr="00365C2F" w:rsidRDefault="00893838" w:rsidP="00B95CD6">
            <w:pPr>
              <w:jc w:val="center"/>
              <w:rPr>
                <w:b/>
                <w:bCs/>
                <w:color w:val="000000"/>
              </w:rPr>
            </w:pPr>
            <w:r w:rsidRPr="00365C2F">
              <w:rPr>
                <w:b/>
                <w:bCs/>
                <w:color w:val="000000"/>
              </w:rPr>
              <w:t>Thời hạn giải quyết</w:t>
            </w:r>
          </w:p>
        </w:tc>
        <w:tc>
          <w:tcPr>
            <w:tcW w:w="2127" w:type="dxa"/>
            <w:vAlign w:val="center"/>
          </w:tcPr>
          <w:p w14:paraId="48D6000A" w14:textId="77777777" w:rsidR="00893838" w:rsidRPr="00365C2F" w:rsidRDefault="00893838" w:rsidP="00B95CD6">
            <w:pPr>
              <w:jc w:val="center"/>
              <w:rPr>
                <w:b/>
                <w:bCs/>
                <w:color w:val="000000"/>
              </w:rPr>
            </w:pPr>
            <w:r w:rsidRPr="00365C2F">
              <w:rPr>
                <w:b/>
                <w:bCs/>
                <w:color w:val="000000"/>
              </w:rPr>
              <w:t>Địa điểm thực hiện</w:t>
            </w:r>
          </w:p>
        </w:tc>
        <w:tc>
          <w:tcPr>
            <w:tcW w:w="2693" w:type="dxa"/>
            <w:vAlign w:val="center"/>
          </w:tcPr>
          <w:p w14:paraId="54CC57BF" w14:textId="77777777" w:rsidR="00893838" w:rsidRPr="00365C2F" w:rsidRDefault="00893838" w:rsidP="00B95CD6">
            <w:pPr>
              <w:jc w:val="center"/>
              <w:rPr>
                <w:b/>
                <w:bCs/>
                <w:color w:val="000000"/>
              </w:rPr>
            </w:pPr>
            <w:r w:rsidRPr="00365C2F">
              <w:rPr>
                <w:b/>
                <w:bCs/>
                <w:color w:val="000000"/>
              </w:rPr>
              <w:t>Phí, lệ phí (nếu có)</w:t>
            </w:r>
          </w:p>
        </w:tc>
        <w:tc>
          <w:tcPr>
            <w:tcW w:w="1134" w:type="dxa"/>
            <w:vAlign w:val="center"/>
          </w:tcPr>
          <w:p w14:paraId="3E4F2B9B" w14:textId="77777777" w:rsidR="00893838" w:rsidRPr="00365C2F" w:rsidRDefault="00893838" w:rsidP="00B95CD6">
            <w:pPr>
              <w:jc w:val="center"/>
              <w:rPr>
                <w:b/>
                <w:bCs/>
                <w:color w:val="000000"/>
              </w:rPr>
            </w:pPr>
            <w:r w:rsidRPr="00365C2F">
              <w:rPr>
                <w:b/>
                <w:bCs/>
                <w:color w:val="000000"/>
              </w:rPr>
              <w:t>Mức dịch vụ công trực tuyến</w:t>
            </w:r>
          </w:p>
        </w:tc>
        <w:tc>
          <w:tcPr>
            <w:tcW w:w="2132" w:type="dxa"/>
            <w:vAlign w:val="center"/>
          </w:tcPr>
          <w:p w14:paraId="7E489E64" w14:textId="77777777" w:rsidR="00893838" w:rsidRPr="00365C2F" w:rsidRDefault="00893838" w:rsidP="00B95CD6">
            <w:pPr>
              <w:jc w:val="center"/>
              <w:rPr>
                <w:b/>
                <w:bCs/>
                <w:color w:val="000000"/>
              </w:rPr>
            </w:pPr>
            <w:r w:rsidRPr="00365C2F">
              <w:rPr>
                <w:b/>
                <w:bCs/>
                <w:color w:val="000000"/>
              </w:rPr>
              <w:t>Căn cứ pháp lý</w:t>
            </w:r>
          </w:p>
        </w:tc>
      </w:tr>
      <w:tr w:rsidR="00993042" w:rsidRPr="00365C2F" w14:paraId="0CA9A951" w14:textId="77777777" w:rsidTr="00F229B0">
        <w:trPr>
          <w:trHeight w:val="3338"/>
          <w:jc w:val="center"/>
        </w:trPr>
        <w:tc>
          <w:tcPr>
            <w:tcW w:w="846" w:type="dxa"/>
            <w:vAlign w:val="center"/>
          </w:tcPr>
          <w:p w14:paraId="3E55B012" w14:textId="39BB6DE0" w:rsidR="00993042" w:rsidRPr="00365C2F" w:rsidRDefault="00993042" w:rsidP="00824933">
            <w:pPr>
              <w:spacing w:after="120"/>
              <w:jc w:val="center"/>
              <w:rPr>
                <w:color w:val="000000"/>
              </w:rPr>
            </w:pPr>
            <w:r w:rsidRPr="00365C2F">
              <w:rPr>
                <w:color w:val="000000"/>
              </w:rPr>
              <w:t>1</w:t>
            </w:r>
          </w:p>
        </w:tc>
        <w:tc>
          <w:tcPr>
            <w:tcW w:w="2545" w:type="dxa"/>
            <w:vAlign w:val="center"/>
          </w:tcPr>
          <w:p w14:paraId="7850830B" w14:textId="76236B55" w:rsidR="00993042" w:rsidRPr="00365C2F" w:rsidRDefault="00993042" w:rsidP="00993042">
            <w:pPr>
              <w:spacing w:after="120"/>
              <w:jc w:val="both"/>
              <w:rPr>
                <w:color w:val="000000" w:themeColor="text1"/>
                <w:shd w:val="clear" w:color="auto" w:fill="FFFFFF"/>
              </w:rPr>
            </w:pPr>
            <w:r w:rsidRPr="00365C2F">
              <w:rPr>
                <w:color w:val="000000" w:themeColor="text1"/>
              </w:rPr>
              <w:br/>
            </w:r>
            <w:r w:rsidRPr="00365C2F">
              <w:rPr>
                <w:color w:val="000000" w:themeColor="text1"/>
                <w:shd w:val="clear" w:color="auto" w:fill="FFFFFF"/>
              </w:rPr>
              <w:t>Cấp Giấy chứng nhận kiểm định, Tem kiểm định an toàn kỹ thuật và bảo vệ môi trường cho xe cơ giới (trừ xe mô tô, xe gắn máy)</w:t>
            </w:r>
          </w:p>
        </w:tc>
        <w:tc>
          <w:tcPr>
            <w:tcW w:w="1191" w:type="dxa"/>
            <w:vAlign w:val="center"/>
          </w:tcPr>
          <w:p w14:paraId="43C03B66" w14:textId="460537C2" w:rsidR="00993042" w:rsidRPr="00365C2F" w:rsidRDefault="00993042" w:rsidP="00993042">
            <w:pPr>
              <w:spacing w:after="120"/>
              <w:jc w:val="center"/>
              <w:rPr>
                <w:color w:val="000000" w:themeColor="text1"/>
              </w:rPr>
            </w:pPr>
            <w:r w:rsidRPr="00365C2F">
              <w:rPr>
                <w:color w:val="000000" w:themeColor="text1"/>
                <w:shd w:val="clear" w:color="auto" w:fill="FFFFFF"/>
              </w:rPr>
              <w:t>1.005103</w:t>
            </w:r>
          </w:p>
        </w:tc>
        <w:tc>
          <w:tcPr>
            <w:tcW w:w="2353" w:type="dxa"/>
            <w:vAlign w:val="center"/>
          </w:tcPr>
          <w:p w14:paraId="0B044C4F" w14:textId="58720194" w:rsidR="00993042" w:rsidRPr="00365C2F" w:rsidRDefault="00993042" w:rsidP="00993042">
            <w:pPr>
              <w:jc w:val="both"/>
            </w:pPr>
            <w:r w:rsidRPr="00365C2F">
              <w:t>- Thời hạn: ngay trong ngày nhận được hồ sơ;</w:t>
            </w:r>
          </w:p>
          <w:p w14:paraId="6FF22F40" w14:textId="77777777" w:rsidR="00993042" w:rsidRPr="00365C2F" w:rsidRDefault="00993042" w:rsidP="00993042">
            <w:pPr>
              <w:jc w:val="both"/>
            </w:pPr>
            <w:r w:rsidRPr="00365C2F">
              <w:t xml:space="preserve">- Thời hạn kiểm tra, đánh giá xe: </w:t>
            </w:r>
          </w:p>
          <w:p w14:paraId="0D05AF31" w14:textId="77777777" w:rsidR="002D7048" w:rsidRPr="00365C2F" w:rsidRDefault="00993042" w:rsidP="00993042">
            <w:pPr>
              <w:jc w:val="both"/>
            </w:pPr>
            <w:r w:rsidRPr="00365C2F">
              <w:t>+ Kiểm định tại cơ sở</w:t>
            </w:r>
            <w:r w:rsidR="002D7048" w:rsidRPr="00365C2F">
              <w:t xml:space="preserve"> và ngoài cơ sở đăng kiểm</w:t>
            </w:r>
            <w:r w:rsidRPr="00365C2F">
              <w:t>: ngay khi nhận được hồ sơ đầy đủ</w:t>
            </w:r>
            <w:r w:rsidR="002D7048" w:rsidRPr="00365C2F">
              <w:t>.</w:t>
            </w:r>
          </w:p>
          <w:p w14:paraId="023AA542" w14:textId="77777777" w:rsidR="002D7048" w:rsidRPr="00365C2F" w:rsidRDefault="002D7048" w:rsidP="00993042">
            <w:pPr>
              <w:jc w:val="both"/>
            </w:pPr>
            <w:r w:rsidRPr="00365C2F">
              <w:t>+</w:t>
            </w:r>
            <w:r w:rsidR="00993042" w:rsidRPr="00365C2F">
              <w:t xml:space="preserve"> Thời hạn trả kết quả: </w:t>
            </w:r>
          </w:p>
          <w:p w14:paraId="27DA1DBE" w14:textId="6261FE25" w:rsidR="002D7048" w:rsidRPr="00365C2F" w:rsidRDefault="002D7048" w:rsidP="00993042">
            <w:pPr>
              <w:jc w:val="both"/>
            </w:pPr>
            <w:r w:rsidRPr="00365C2F">
              <w:t>. K</w:t>
            </w:r>
            <w:r w:rsidR="00993042" w:rsidRPr="00365C2F">
              <w:t>iểm định tại cơ sở: ngay sau khi kết thúc việc kiểm tra</w:t>
            </w:r>
            <w:r w:rsidRPr="00365C2F">
              <w:t>;</w:t>
            </w:r>
          </w:p>
          <w:p w14:paraId="6F4AE153" w14:textId="645FCDD2" w:rsidR="00993042" w:rsidRPr="00365C2F" w:rsidRDefault="002D7048" w:rsidP="00993042">
            <w:pPr>
              <w:jc w:val="both"/>
            </w:pPr>
            <w:r w:rsidRPr="00365C2F">
              <w:t>. K</w:t>
            </w:r>
            <w:r w:rsidR="00993042" w:rsidRPr="00365C2F">
              <w:t>iểm định ngoài đơn vị đăng kiểm: 03 ngày làm việc kể từ khi kết thúc kiểm tra.</w:t>
            </w:r>
          </w:p>
          <w:p w14:paraId="40B3A261" w14:textId="386BE11D" w:rsidR="00993042" w:rsidRPr="00365C2F" w:rsidRDefault="00993042" w:rsidP="00993042">
            <w:pPr>
              <w:jc w:val="center"/>
              <w:rPr>
                <w:color w:val="000000" w:themeColor="text1"/>
                <w:lang w:val="sv-SE"/>
              </w:rPr>
            </w:pPr>
          </w:p>
        </w:tc>
        <w:tc>
          <w:tcPr>
            <w:tcW w:w="2127" w:type="dxa"/>
            <w:vAlign w:val="center"/>
          </w:tcPr>
          <w:p w14:paraId="5AB49C6A" w14:textId="77777777" w:rsidR="00993042" w:rsidRPr="00365C2F" w:rsidRDefault="00993042" w:rsidP="00993042">
            <w:pPr>
              <w:jc w:val="both"/>
              <w:rPr>
                <w:bCs/>
                <w:color w:val="000000" w:themeColor="text1"/>
              </w:rPr>
            </w:pPr>
            <w:r w:rsidRPr="00365C2F">
              <w:rPr>
                <w:bCs/>
                <w:color w:val="000000" w:themeColor="text1"/>
              </w:rPr>
              <w:t xml:space="preserve">-Cơ quan tiếp nhận và thực hiện giải quyết TTHC: Đơn vị đăng kiểm </w:t>
            </w:r>
          </w:p>
          <w:p w14:paraId="2945B16D" w14:textId="5DE17083" w:rsidR="00993042" w:rsidRPr="00365C2F" w:rsidRDefault="00993042" w:rsidP="00993042">
            <w:pPr>
              <w:jc w:val="both"/>
              <w:rPr>
                <w:bCs/>
                <w:color w:val="000000" w:themeColor="text1"/>
              </w:rPr>
            </w:pPr>
            <w:r w:rsidRPr="00365C2F">
              <w:rPr>
                <w:bCs/>
                <w:color w:val="000000" w:themeColor="text1"/>
              </w:rPr>
              <w:t xml:space="preserve">-Địa điểm tiếp nhận hồ sơ: Đơn vị đăng kiểm </w:t>
            </w:r>
          </w:p>
        </w:tc>
        <w:tc>
          <w:tcPr>
            <w:tcW w:w="2693" w:type="dxa"/>
            <w:vAlign w:val="center"/>
          </w:tcPr>
          <w:p w14:paraId="74CE9FBD" w14:textId="139F695E" w:rsidR="00993042" w:rsidRPr="00365C2F" w:rsidRDefault="002D7048" w:rsidP="002D7048">
            <w:pPr>
              <w:jc w:val="both"/>
              <w:rPr>
                <w:lang w:val="sv-SE"/>
              </w:rPr>
            </w:pPr>
            <w:r w:rsidRPr="00365C2F">
              <w:rPr>
                <w:lang w:val="sv-SE"/>
              </w:rPr>
              <w:t xml:space="preserve">- </w:t>
            </w:r>
            <w:r w:rsidR="00993042" w:rsidRPr="00365C2F">
              <w:rPr>
                <w:lang w:val="sv-SE"/>
              </w:rPr>
              <w:t>Lệ phí giấy chứng nhận: 40.000 đồng/01 Giấy chứng nhận kiểm định, riêng đối với ô tô dưới 10 chỗ ngồi (không bao gồm xe cứu thương): 90.000 đồng/01 Giấy chứng nhận</w:t>
            </w:r>
            <w:r w:rsidRPr="00365C2F">
              <w:rPr>
                <w:lang w:val="sv-SE"/>
              </w:rPr>
              <w:t>.</w:t>
            </w:r>
          </w:p>
          <w:p w14:paraId="35D31111" w14:textId="2B115D6D" w:rsidR="00993042" w:rsidRPr="00365C2F" w:rsidRDefault="00993042" w:rsidP="002D7048">
            <w:pPr>
              <w:jc w:val="both"/>
              <w:rPr>
                <w:lang w:val="sv-SE"/>
              </w:rPr>
            </w:pPr>
            <w:r w:rsidRPr="00365C2F">
              <w:rPr>
                <w:lang w:val="sv-SE"/>
              </w:rPr>
              <w:t>- Giá dịch vụ kiểm định an toàn kỹ thuật và bảo về môi trường</w:t>
            </w:r>
            <w:r w:rsidR="002D7048" w:rsidRPr="00365C2F">
              <w:rPr>
                <w:lang w:val="sv-SE"/>
              </w:rPr>
              <w:t xml:space="preserve">: </w:t>
            </w:r>
            <w:r w:rsidRPr="00365C2F">
              <w:rPr>
                <w:lang w:val="sv-SE"/>
              </w:rPr>
              <w:t xml:space="preserve"> Thông tư số 238/2016/TT-BTC ngày 11/11/2016 và Thông tư số 55/2022/TT-BTC ngày 24/8/2022 của Bộ trưởng Bộ Tài chính.</w:t>
            </w:r>
          </w:p>
          <w:p w14:paraId="33A96B46" w14:textId="77777777" w:rsidR="00993042" w:rsidRPr="00365C2F" w:rsidRDefault="00993042" w:rsidP="002D7048">
            <w:pPr>
              <w:pStyle w:val="ListParagraph"/>
              <w:ind w:left="29"/>
              <w:jc w:val="center"/>
              <w:rPr>
                <w:color w:val="000000" w:themeColor="text1"/>
              </w:rPr>
            </w:pPr>
          </w:p>
        </w:tc>
        <w:tc>
          <w:tcPr>
            <w:tcW w:w="1134" w:type="dxa"/>
            <w:vAlign w:val="center"/>
          </w:tcPr>
          <w:p w14:paraId="058538F8" w14:textId="5638862D" w:rsidR="00993042" w:rsidRPr="00365C2F" w:rsidRDefault="002D7048" w:rsidP="00993042">
            <w:pPr>
              <w:spacing w:after="120"/>
              <w:jc w:val="center"/>
              <w:rPr>
                <w:bCs/>
                <w:color w:val="000000" w:themeColor="text1"/>
              </w:rPr>
            </w:pPr>
            <w:r w:rsidRPr="00365C2F">
              <w:rPr>
                <w:bCs/>
                <w:color w:val="000000" w:themeColor="text1"/>
              </w:rPr>
              <w:t>Một phần</w:t>
            </w:r>
          </w:p>
        </w:tc>
        <w:tc>
          <w:tcPr>
            <w:tcW w:w="2132" w:type="dxa"/>
            <w:vAlign w:val="center"/>
          </w:tcPr>
          <w:p w14:paraId="00328C0A" w14:textId="77777777" w:rsidR="00824933" w:rsidRPr="00365C2F" w:rsidRDefault="00824933" w:rsidP="00365C2F">
            <w:pPr>
              <w:jc w:val="center"/>
              <w:rPr>
                <w:lang w:val="sv-SE"/>
              </w:rPr>
            </w:pPr>
            <w:r w:rsidRPr="00365C2F">
              <w:rPr>
                <w:lang w:val="sv-SE"/>
              </w:rPr>
              <w:t>- Thông tư số 47/2024/TT-BGTVT ngày 15 tháng 11 năm 2024 của Bộ Giao thông vận.</w:t>
            </w:r>
          </w:p>
          <w:p w14:paraId="2E32FA6E" w14:textId="74F61234" w:rsidR="00824933" w:rsidRPr="00365C2F" w:rsidRDefault="00824933" w:rsidP="00365C2F">
            <w:pPr>
              <w:jc w:val="center"/>
            </w:pPr>
            <w:r w:rsidRPr="00365C2F">
              <w:t>- Thông tư số 199/2016/TT-BTC ngày 08 tháng 11 năm 2016; Thông tư số 36/2022/TT-BTC ngày 08 tháng 11 năm 2016 của Bộ Tài chính</w:t>
            </w:r>
          </w:p>
          <w:p w14:paraId="71C77A3F" w14:textId="74BE1A89" w:rsidR="00993042" w:rsidRPr="00365C2F" w:rsidRDefault="00824933" w:rsidP="00365C2F">
            <w:pPr>
              <w:jc w:val="center"/>
            </w:pPr>
            <w:r w:rsidRPr="00365C2F">
              <w:t>- Thông tư số 238/2016/TT-BTC ngày 11 tháng 12 năm 2016; Thông tư số 55/2022/TT-BTC ngày 24 tháng 8 năm 2022 của Bộ Tài chính</w:t>
            </w:r>
          </w:p>
        </w:tc>
      </w:tr>
      <w:tr w:rsidR="002D7048" w:rsidRPr="00365C2F" w14:paraId="7C8C2FE7" w14:textId="77777777" w:rsidTr="00F229B0">
        <w:trPr>
          <w:trHeight w:val="3338"/>
          <w:jc w:val="center"/>
        </w:trPr>
        <w:tc>
          <w:tcPr>
            <w:tcW w:w="846" w:type="dxa"/>
            <w:vAlign w:val="center"/>
          </w:tcPr>
          <w:p w14:paraId="63D14797" w14:textId="77777777" w:rsidR="002D7048" w:rsidRPr="00365C2F" w:rsidRDefault="002D7048" w:rsidP="002D7048">
            <w:pPr>
              <w:spacing w:after="120"/>
              <w:jc w:val="center"/>
              <w:rPr>
                <w:color w:val="000000"/>
              </w:rPr>
            </w:pPr>
            <w:r w:rsidRPr="00365C2F">
              <w:rPr>
                <w:color w:val="000000"/>
              </w:rPr>
              <w:lastRenderedPageBreak/>
              <w:t>2</w:t>
            </w:r>
          </w:p>
        </w:tc>
        <w:tc>
          <w:tcPr>
            <w:tcW w:w="2545" w:type="dxa"/>
            <w:vAlign w:val="center"/>
          </w:tcPr>
          <w:p w14:paraId="6EB44A6A" w14:textId="76290AD2" w:rsidR="002D7048" w:rsidRPr="00365C2F" w:rsidRDefault="002D7048" w:rsidP="002D7048">
            <w:pPr>
              <w:pStyle w:val="Heading1"/>
              <w:spacing w:before="120" w:after="120"/>
              <w:jc w:val="both"/>
              <w:outlineLvl w:val="0"/>
              <w:rPr>
                <w:rFonts w:ascii="Times New Roman" w:hAnsi="Times New Roman"/>
                <w:b w:val="0"/>
                <w:bCs w:val="0"/>
                <w:sz w:val="24"/>
                <w:szCs w:val="24"/>
                <w:lang w:val="vi-VN"/>
              </w:rPr>
            </w:pPr>
            <w:r w:rsidRPr="00365C2F">
              <w:rPr>
                <w:rFonts w:ascii="Times New Roman" w:hAnsi="Times New Roman"/>
                <w:b w:val="0"/>
                <w:bCs w:val="0"/>
                <w:sz w:val="24"/>
                <w:szCs w:val="24"/>
              </w:rPr>
              <w:t xml:space="preserve">Cấp mới Giấy chứng nhận đủ điều kiện hoạt động kiểm định </w:t>
            </w:r>
            <w:r w:rsidRPr="00365C2F">
              <w:rPr>
                <w:rFonts w:ascii="Times New Roman" w:hAnsi="Times New Roman"/>
                <w:b w:val="0"/>
                <w:bCs w:val="0"/>
                <w:sz w:val="24"/>
                <w:szCs w:val="24"/>
                <w:lang w:val="vi-VN"/>
              </w:rPr>
              <w:t>xe cơ giới</w:t>
            </w:r>
          </w:p>
        </w:tc>
        <w:tc>
          <w:tcPr>
            <w:tcW w:w="1191" w:type="dxa"/>
            <w:vAlign w:val="center"/>
          </w:tcPr>
          <w:p w14:paraId="1597A731" w14:textId="4790315A" w:rsidR="002D7048" w:rsidRPr="00365C2F" w:rsidRDefault="002D7048" w:rsidP="002D7048">
            <w:pPr>
              <w:spacing w:after="120"/>
              <w:jc w:val="center"/>
            </w:pPr>
            <w:r w:rsidRPr="00365C2F">
              <w:rPr>
                <w:color w:val="1E2F41"/>
                <w:shd w:val="clear" w:color="auto" w:fill="FFFFFF"/>
              </w:rPr>
              <w:t>1.001322</w:t>
            </w:r>
          </w:p>
        </w:tc>
        <w:tc>
          <w:tcPr>
            <w:tcW w:w="2353" w:type="dxa"/>
            <w:vAlign w:val="center"/>
          </w:tcPr>
          <w:p w14:paraId="277F283A" w14:textId="77777777" w:rsidR="002D7048" w:rsidRPr="00365C2F" w:rsidRDefault="002D7048" w:rsidP="002D7048">
            <w:pPr>
              <w:jc w:val="both"/>
              <w:rPr>
                <w:iCs/>
              </w:rPr>
            </w:pPr>
            <w:r w:rsidRPr="00365C2F">
              <w:t xml:space="preserve">23 </w:t>
            </w:r>
            <w:r w:rsidRPr="00365C2F">
              <w:rPr>
                <w:iCs/>
                <w:lang w:val="vi-VN"/>
              </w:rPr>
              <w:t>ngày làm việc</w:t>
            </w:r>
            <w:r w:rsidRPr="00365C2F">
              <w:rPr>
                <w:iCs/>
              </w:rPr>
              <w:t>, trong đó:</w:t>
            </w:r>
          </w:p>
          <w:p w14:paraId="5436F802" w14:textId="77777777" w:rsidR="002D7048" w:rsidRPr="00365C2F" w:rsidRDefault="002D7048" w:rsidP="002D7048">
            <w:pPr>
              <w:jc w:val="both"/>
              <w:rPr>
                <w:iCs/>
              </w:rPr>
            </w:pPr>
            <w:r w:rsidRPr="00365C2F">
              <w:rPr>
                <w:iCs/>
              </w:rPr>
              <w:t>+ Tiếp nhận hồ sơ: 03 ngày làm việc;</w:t>
            </w:r>
          </w:p>
          <w:p w14:paraId="5BD554BE" w14:textId="77777777" w:rsidR="002D7048" w:rsidRPr="00365C2F" w:rsidRDefault="002D7048" w:rsidP="002D7048">
            <w:pPr>
              <w:jc w:val="both"/>
              <w:rPr>
                <w:lang w:val="fr-FR"/>
              </w:rPr>
            </w:pPr>
            <w:r w:rsidRPr="00365C2F">
              <w:rPr>
                <w:iCs/>
              </w:rPr>
              <w:t xml:space="preserve">+ </w:t>
            </w:r>
            <w:r w:rsidRPr="00365C2F">
              <w:rPr>
                <w:lang w:val="vi-VN"/>
              </w:rPr>
              <w:t xml:space="preserve"> Kiểm tra, đánh giá thực tế: </w:t>
            </w:r>
            <w:r w:rsidRPr="00365C2F">
              <w:rPr>
                <w:lang w:val="fr-FR"/>
              </w:rPr>
              <w:t>15 ngày kể từ ngày lập thông báo tiếp nhận hồ sơ.</w:t>
            </w:r>
          </w:p>
          <w:p w14:paraId="58A73D28" w14:textId="2220EC12" w:rsidR="002D7048" w:rsidRPr="00365C2F" w:rsidRDefault="002D7048" w:rsidP="002D7048">
            <w:pPr>
              <w:spacing w:before="120" w:after="120"/>
              <w:jc w:val="both"/>
              <w:rPr>
                <w:color w:val="FF0000"/>
                <w:shd w:val="clear" w:color="auto" w:fill="FFFFFF"/>
              </w:rPr>
            </w:pPr>
            <w:r w:rsidRPr="00365C2F">
              <w:rPr>
                <w:lang w:val="fr-FR"/>
              </w:rPr>
              <w:t xml:space="preserve">+ </w:t>
            </w:r>
            <w:r w:rsidRPr="00365C2F">
              <w:rPr>
                <w:lang w:val="vi-VN"/>
              </w:rPr>
              <w:t xml:space="preserve">Cấp Giấy chứng nhận: </w:t>
            </w:r>
            <w:r w:rsidRPr="00365C2F">
              <w:rPr>
                <w:lang w:val="fr-FR"/>
              </w:rPr>
              <w:t>05 ngày làm việc kể từ ngày kết thúc việc kiểm tra, đánh giá thực tế đạt yêu cầu</w:t>
            </w:r>
            <w:r w:rsidRPr="00365C2F">
              <w:rPr>
                <w:lang w:val="vi-VN"/>
              </w:rPr>
              <w:t>.</w:t>
            </w:r>
          </w:p>
        </w:tc>
        <w:tc>
          <w:tcPr>
            <w:tcW w:w="2127" w:type="dxa"/>
            <w:vAlign w:val="center"/>
          </w:tcPr>
          <w:p w14:paraId="640D295B" w14:textId="77777777" w:rsidR="002D7048" w:rsidRPr="00365C2F" w:rsidRDefault="002D7048" w:rsidP="002D7048">
            <w:pPr>
              <w:jc w:val="both"/>
              <w:rPr>
                <w:bCs/>
                <w:color w:val="000000" w:themeColor="text1"/>
              </w:rPr>
            </w:pPr>
            <w:r w:rsidRPr="00365C2F">
              <w:rPr>
                <w:bCs/>
                <w:color w:val="000000" w:themeColor="text1"/>
              </w:rPr>
              <w:t>- Cơ quan thực hiện TTHC: Sở Giao thông vận tải.</w:t>
            </w:r>
          </w:p>
          <w:p w14:paraId="67F87873" w14:textId="77777777" w:rsidR="002D7048" w:rsidRPr="00365C2F" w:rsidRDefault="002D7048" w:rsidP="002D7048">
            <w:pPr>
              <w:jc w:val="both"/>
              <w:rPr>
                <w:bCs/>
                <w:color w:val="000000" w:themeColor="text1"/>
              </w:rPr>
            </w:pPr>
            <w:r w:rsidRPr="00365C2F">
              <w:rPr>
                <w:bCs/>
                <w:color w:val="000000" w:themeColor="text1"/>
              </w:rPr>
              <w:t>- Cơ quan có thẩm quyền giải quyết: Sở Giao thông vận tải.</w:t>
            </w:r>
          </w:p>
          <w:p w14:paraId="5073E2D5" w14:textId="4231BF4D" w:rsidR="002D7048" w:rsidRPr="00365C2F" w:rsidRDefault="002D7048" w:rsidP="002D7048">
            <w:pPr>
              <w:tabs>
                <w:tab w:val="left" w:pos="360"/>
              </w:tabs>
              <w:spacing w:before="120" w:after="120"/>
              <w:jc w:val="both"/>
              <w:rPr>
                <w:bCs/>
                <w:color w:val="000000" w:themeColor="text1"/>
              </w:rPr>
            </w:pPr>
            <w:r w:rsidRPr="00365C2F">
              <w:rPr>
                <w:bCs/>
                <w:color w:val="000000" w:themeColor="text1"/>
              </w:rPr>
              <w:t>- Địa điểm tiếp nhận hồ sơ: Trung tâm Phục vụ hành chính công tỉnh.</w:t>
            </w:r>
          </w:p>
        </w:tc>
        <w:tc>
          <w:tcPr>
            <w:tcW w:w="2693" w:type="dxa"/>
            <w:vAlign w:val="center"/>
          </w:tcPr>
          <w:p w14:paraId="77982B90" w14:textId="75DA9547" w:rsidR="002D7048" w:rsidRPr="00365C2F" w:rsidRDefault="002D7048" w:rsidP="002D7048">
            <w:pPr>
              <w:pStyle w:val="ListParagraph"/>
              <w:ind w:left="29"/>
              <w:jc w:val="center"/>
              <w:rPr>
                <w:color w:val="000000" w:themeColor="text1"/>
              </w:rPr>
            </w:pPr>
            <w:r w:rsidRPr="00365C2F">
              <w:rPr>
                <w:color w:val="000000" w:themeColor="text1"/>
              </w:rPr>
              <w:t xml:space="preserve">Không </w:t>
            </w:r>
          </w:p>
        </w:tc>
        <w:tc>
          <w:tcPr>
            <w:tcW w:w="1134" w:type="dxa"/>
            <w:vAlign w:val="center"/>
          </w:tcPr>
          <w:p w14:paraId="23CC2C79" w14:textId="06C75EBF" w:rsidR="002D7048" w:rsidRPr="00365C2F" w:rsidRDefault="002D7048" w:rsidP="002D7048">
            <w:pPr>
              <w:spacing w:after="120"/>
              <w:jc w:val="center"/>
              <w:rPr>
                <w:bCs/>
                <w:color w:val="000000" w:themeColor="text1"/>
              </w:rPr>
            </w:pPr>
            <w:r w:rsidRPr="00365C2F">
              <w:rPr>
                <w:bCs/>
                <w:color w:val="000000" w:themeColor="text1"/>
              </w:rPr>
              <w:t>Một phần</w:t>
            </w:r>
          </w:p>
        </w:tc>
        <w:tc>
          <w:tcPr>
            <w:tcW w:w="2132" w:type="dxa"/>
            <w:vAlign w:val="center"/>
          </w:tcPr>
          <w:p w14:paraId="24309FAE" w14:textId="1F255013" w:rsidR="002D7048" w:rsidRPr="00365C2F" w:rsidRDefault="002D7048" w:rsidP="00365C2F">
            <w:pPr>
              <w:spacing w:before="120" w:after="120"/>
              <w:jc w:val="center"/>
              <w:rPr>
                <w:lang w:val="sv-SE"/>
              </w:rPr>
            </w:pPr>
            <w:r w:rsidRPr="00365C2F">
              <w:rPr>
                <w:lang w:val="sv-SE"/>
              </w:rPr>
              <w:t xml:space="preserve">- </w:t>
            </w:r>
            <w:bookmarkStart w:id="0" w:name="_Hlk186794470"/>
            <w:r w:rsidRPr="00365C2F">
              <w:rPr>
                <w:lang w:val="sv-SE"/>
              </w:rPr>
              <w:t>Thông tư số 46/2024/TT-BGTVT ngày 15 tháng 11 năm 2024 của Bộ Giao thông vận tải</w:t>
            </w:r>
          </w:p>
          <w:bookmarkEnd w:id="0"/>
          <w:p w14:paraId="786AADE0" w14:textId="77777777" w:rsidR="002D7048" w:rsidRPr="00365C2F" w:rsidRDefault="002D7048" w:rsidP="00365C2F">
            <w:pPr>
              <w:jc w:val="center"/>
            </w:pPr>
            <w:r w:rsidRPr="00365C2F">
              <w:br w:type="page"/>
            </w:r>
          </w:p>
          <w:p w14:paraId="01643685" w14:textId="77777777" w:rsidR="002D7048" w:rsidRPr="00365C2F" w:rsidRDefault="002D7048" w:rsidP="00365C2F">
            <w:pPr>
              <w:jc w:val="center"/>
              <w:rPr>
                <w:color w:val="000000" w:themeColor="text1"/>
              </w:rPr>
            </w:pPr>
          </w:p>
        </w:tc>
      </w:tr>
      <w:tr w:rsidR="002A3468" w:rsidRPr="00365C2F" w14:paraId="218F7B64" w14:textId="77777777" w:rsidTr="00F229B0">
        <w:trPr>
          <w:trHeight w:val="1920"/>
          <w:jc w:val="center"/>
        </w:trPr>
        <w:tc>
          <w:tcPr>
            <w:tcW w:w="846" w:type="dxa"/>
            <w:vAlign w:val="center"/>
          </w:tcPr>
          <w:p w14:paraId="2916BBD7" w14:textId="77777777" w:rsidR="002A3468" w:rsidRPr="00365C2F" w:rsidRDefault="002A3468" w:rsidP="002A3468">
            <w:pPr>
              <w:spacing w:after="120"/>
              <w:jc w:val="center"/>
              <w:rPr>
                <w:color w:val="000000"/>
              </w:rPr>
            </w:pPr>
            <w:r w:rsidRPr="00365C2F">
              <w:rPr>
                <w:color w:val="000000"/>
              </w:rPr>
              <w:t>3</w:t>
            </w:r>
          </w:p>
        </w:tc>
        <w:tc>
          <w:tcPr>
            <w:tcW w:w="2545" w:type="dxa"/>
            <w:vAlign w:val="center"/>
          </w:tcPr>
          <w:p w14:paraId="6830DCFA" w14:textId="69DD95D8" w:rsidR="002A3468" w:rsidRPr="00365C2F" w:rsidRDefault="002A3468" w:rsidP="002A3468">
            <w:pPr>
              <w:spacing w:after="120"/>
              <w:jc w:val="both"/>
              <w:rPr>
                <w:color w:val="000000" w:themeColor="text1"/>
                <w:shd w:val="clear" w:color="auto" w:fill="FFFFFF"/>
              </w:rPr>
            </w:pPr>
            <w:r w:rsidRPr="00365C2F">
              <w:t xml:space="preserve">Cấp </w:t>
            </w:r>
            <w:r w:rsidRPr="00365C2F">
              <w:rPr>
                <w:lang w:val="vi-VN"/>
              </w:rPr>
              <w:t>lại</w:t>
            </w:r>
            <w:r w:rsidRPr="00365C2F">
              <w:t xml:space="preserve"> Giấy chứng nhận đủ điều kiện hoạt động kiểm định </w:t>
            </w:r>
            <w:r w:rsidRPr="00365C2F">
              <w:rPr>
                <w:lang w:val="vi-VN"/>
              </w:rPr>
              <w:t>xe cơ giới</w:t>
            </w:r>
          </w:p>
        </w:tc>
        <w:tc>
          <w:tcPr>
            <w:tcW w:w="1191" w:type="dxa"/>
            <w:vAlign w:val="center"/>
          </w:tcPr>
          <w:p w14:paraId="359A53AA" w14:textId="430A47F0" w:rsidR="002A3468" w:rsidRPr="00365C2F" w:rsidRDefault="002A3468" w:rsidP="002A3468">
            <w:pPr>
              <w:spacing w:after="120"/>
              <w:jc w:val="center"/>
              <w:rPr>
                <w:color w:val="000000" w:themeColor="text1"/>
              </w:rPr>
            </w:pPr>
            <w:r w:rsidRPr="00365C2F">
              <w:rPr>
                <w:color w:val="1E2F41"/>
                <w:shd w:val="clear" w:color="auto" w:fill="FFFFFF"/>
              </w:rPr>
              <w:t>1.001296</w:t>
            </w:r>
          </w:p>
        </w:tc>
        <w:tc>
          <w:tcPr>
            <w:tcW w:w="2353" w:type="dxa"/>
            <w:vAlign w:val="center"/>
          </w:tcPr>
          <w:p w14:paraId="6EEE01BE" w14:textId="064A079F" w:rsidR="002A3468" w:rsidRPr="00365C2F" w:rsidRDefault="002A3468" w:rsidP="002A3468">
            <w:pPr>
              <w:jc w:val="both"/>
              <w:rPr>
                <w:i/>
              </w:rPr>
            </w:pPr>
            <w:r w:rsidRPr="00365C2F">
              <w:rPr>
                <w:iCs/>
              </w:rPr>
              <w:t xml:space="preserve">- </w:t>
            </w:r>
            <w:r w:rsidRPr="00365C2F">
              <w:rPr>
                <w:iCs/>
                <w:lang w:val="vi-VN"/>
              </w:rPr>
              <w:t xml:space="preserve">Cấp lại </w:t>
            </w:r>
            <w:r w:rsidRPr="00365C2F">
              <w:rPr>
                <w:iCs/>
              </w:rPr>
              <w:t>G</w:t>
            </w:r>
            <w:r w:rsidRPr="00365C2F">
              <w:rPr>
                <w:iCs/>
                <w:lang w:val="vi-VN"/>
              </w:rPr>
              <w:t xml:space="preserve">iấy chứng nhận </w:t>
            </w:r>
            <w:r w:rsidRPr="00365C2F">
              <w:rPr>
                <w:lang w:val="vi-VN"/>
              </w:rPr>
              <w:t>bị mất, bị hỏng, thay đổi thông tin địa giới hành chính; cơ sở đăng kiểm xe cơ giới giảm số lượng dây chuyền kiểm định so với nội dung đã được chứng nhận nhưng các dây chuyền kiểm định còn lại vẫn đảm bảo điều kiện hoạt động:</w:t>
            </w:r>
            <w:r w:rsidRPr="00365C2F">
              <w:rPr>
                <w:i/>
              </w:rPr>
              <w:t xml:space="preserve"> </w:t>
            </w:r>
            <w:r w:rsidRPr="00365C2F">
              <w:rPr>
                <w:lang w:val="vi-VN"/>
              </w:rPr>
              <w:t>05 ngày làm việc</w:t>
            </w:r>
            <w:r w:rsidRPr="00365C2F">
              <w:t>.</w:t>
            </w:r>
          </w:p>
          <w:p w14:paraId="1058BBA7" w14:textId="77777777" w:rsidR="002A3468" w:rsidRPr="00365C2F" w:rsidRDefault="002A3468" w:rsidP="002A3468">
            <w:pPr>
              <w:jc w:val="both"/>
              <w:rPr>
                <w:iCs/>
              </w:rPr>
            </w:pPr>
            <w:r w:rsidRPr="00365C2F">
              <w:lastRenderedPageBreak/>
              <w:t>-</w:t>
            </w:r>
            <w:r w:rsidRPr="00365C2F">
              <w:rPr>
                <w:lang w:val="vi-VN"/>
              </w:rPr>
              <w:t xml:space="preserve"> </w:t>
            </w:r>
            <w:r w:rsidRPr="00365C2F">
              <w:t>C</w:t>
            </w:r>
            <w:r w:rsidRPr="00365C2F">
              <w:rPr>
                <w:lang w:val="vi-VN"/>
              </w:rPr>
              <w:t>ấp lại do cơ sở đăng kiểm xe cơ giới thay đổi vị trí; tăng thêm số lượng dây chuyền kiểm định; thay đổi loại dây chuyền kiểm định; thay đổi thiết bị kiểm tra làm thay đổi loại phương tiện được kiểm định; bị thu hồi giấy chứng nhận đủ điều kiện hoạt động kiểm định xe cơ giới:</w:t>
            </w:r>
            <w:r w:rsidRPr="00365C2F">
              <w:t xml:space="preserve"> 23 </w:t>
            </w:r>
            <w:r w:rsidRPr="00365C2F">
              <w:rPr>
                <w:iCs/>
                <w:lang w:val="vi-VN"/>
              </w:rPr>
              <w:t>ngày làm việc</w:t>
            </w:r>
            <w:r w:rsidRPr="00365C2F">
              <w:rPr>
                <w:iCs/>
              </w:rPr>
              <w:t>, trong đó:</w:t>
            </w:r>
          </w:p>
          <w:p w14:paraId="3723A519" w14:textId="77777777" w:rsidR="002A3468" w:rsidRPr="00365C2F" w:rsidRDefault="002A3468" w:rsidP="002A3468">
            <w:pPr>
              <w:jc w:val="both"/>
              <w:rPr>
                <w:iCs/>
              </w:rPr>
            </w:pPr>
            <w:r w:rsidRPr="00365C2F">
              <w:rPr>
                <w:iCs/>
              </w:rPr>
              <w:t>+ Tiếp nhận hồ sơ: 03 ngày làm việc;</w:t>
            </w:r>
          </w:p>
          <w:p w14:paraId="6D818918" w14:textId="77777777" w:rsidR="002A3468" w:rsidRPr="00365C2F" w:rsidRDefault="002A3468" w:rsidP="002A3468">
            <w:pPr>
              <w:jc w:val="both"/>
              <w:rPr>
                <w:lang w:val="fr-FR"/>
              </w:rPr>
            </w:pPr>
            <w:r w:rsidRPr="00365C2F">
              <w:rPr>
                <w:iCs/>
              </w:rPr>
              <w:t xml:space="preserve">+ </w:t>
            </w:r>
            <w:r w:rsidRPr="00365C2F">
              <w:rPr>
                <w:lang w:val="vi-VN"/>
              </w:rPr>
              <w:t xml:space="preserve"> Kiểm tra, đánh giá thực tế: </w:t>
            </w:r>
            <w:r w:rsidRPr="00365C2F">
              <w:rPr>
                <w:lang w:val="fr-FR"/>
              </w:rPr>
              <w:t>15 ngày kể từ ngày lập thông báo tiếp nhận hồ sơ.</w:t>
            </w:r>
          </w:p>
          <w:p w14:paraId="4163A127" w14:textId="1D7555D5" w:rsidR="002A3468" w:rsidRPr="00365C2F" w:rsidRDefault="002A3468" w:rsidP="002A3468">
            <w:pPr>
              <w:jc w:val="both"/>
              <w:rPr>
                <w:lang w:val="fr-FR"/>
              </w:rPr>
            </w:pPr>
            <w:r w:rsidRPr="00365C2F">
              <w:rPr>
                <w:lang w:val="fr-FR"/>
              </w:rPr>
              <w:t xml:space="preserve">+ </w:t>
            </w:r>
            <w:r w:rsidRPr="00365C2F">
              <w:rPr>
                <w:lang w:val="vi-VN"/>
              </w:rPr>
              <w:t xml:space="preserve">Cấp Giấy chứng nhận: </w:t>
            </w:r>
            <w:r w:rsidRPr="00365C2F">
              <w:rPr>
                <w:lang w:val="fr-FR"/>
              </w:rPr>
              <w:t>05 ngày làm việc kể từ ngày kết thúc việc kiểm tra, đánh giá thực tế đạt yêu cầu</w:t>
            </w:r>
            <w:r w:rsidRPr="00365C2F">
              <w:rPr>
                <w:lang w:val="vi-VN"/>
              </w:rPr>
              <w:t>.</w:t>
            </w:r>
          </w:p>
        </w:tc>
        <w:tc>
          <w:tcPr>
            <w:tcW w:w="2127" w:type="dxa"/>
            <w:vAlign w:val="center"/>
          </w:tcPr>
          <w:p w14:paraId="6E6976E6" w14:textId="77777777" w:rsidR="002A3468" w:rsidRPr="00365C2F" w:rsidRDefault="002A3468" w:rsidP="002A3468">
            <w:pPr>
              <w:jc w:val="both"/>
              <w:rPr>
                <w:bCs/>
                <w:color w:val="000000" w:themeColor="text1"/>
              </w:rPr>
            </w:pPr>
            <w:r w:rsidRPr="00365C2F">
              <w:rPr>
                <w:bCs/>
                <w:color w:val="000000" w:themeColor="text1"/>
              </w:rPr>
              <w:lastRenderedPageBreak/>
              <w:t>- Cơ quan thực hiện TTHC: Sở Giao thông vận tải.</w:t>
            </w:r>
          </w:p>
          <w:p w14:paraId="5F033B28" w14:textId="77777777" w:rsidR="002A3468" w:rsidRPr="00365C2F" w:rsidRDefault="002A3468" w:rsidP="002A3468">
            <w:pPr>
              <w:jc w:val="both"/>
              <w:rPr>
                <w:bCs/>
                <w:color w:val="000000" w:themeColor="text1"/>
              </w:rPr>
            </w:pPr>
            <w:r w:rsidRPr="00365C2F">
              <w:rPr>
                <w:bCs/>
                <w:color w:val="000000" w:themeColor="text1"/>
              </w:rPr>
              <w:t>- Cơ quan có thẩm quyền giải quyết: Sở Giao thông vận tải.</w:t>
            </w:r>
          </w:p>
          <w:p w14:paraId="0C6216A6" w14:textId="1A015310" w:rsidR="002A3468" w:rsidRPr="00365C2F" w:rsidRDefault="002A3468" w:rsidP="002A3468">
            <w:pPr>
              <w:jc w:val="both"/>
              <w:rPr>
                <w:bCs/>
                <w:color w:val="000000" w:themeColor="text1"/>
              </w:rPr>
            </w:pPr>
            <w:r w:rsidRPr="00365C2F">
              <w:rPr>
                <w:bCs/>
                <w:color w:val="000000" w:themeColor="text1"/>
              </w:rPr>
              <w:t>- Địa điểm tiếp nhận hồ sơ: Trung tâm Phục vụ hành chính công tỉnh.</w:t>
            </w:r>
          </w:p>
        </w:tc>
        <w:tc>
          <w:tcPr>
            <w:tcW w:w="2693" w:type="dxa"/>
            <w:vAlign w:val="center"/>
          </w:tcPr>
          <w:p w14:paraId="2D23D39D" w14:textId="00504069" w:rsidR="002A3468" w:rsidRPr="00365C2F" w:rsidRDefault="002A3468" w:rsidP="002A3468">
            <w:pPr>
              <w:pStyle w:val="ListParagraph"/>
              <w:ind w:left="29"/>
              <w:jc w:val="center"/>
              <w:rPr>
                <w:color w:val="000000" w:themeColor="text1"/>
              </w:rPr>
            </w:pPr>
            <w:r w:rsidRPr="00365C2F">
              <w:rPr>
                <w:lang w:val="sv-SE"/>
              </w:rPr>
              <w:t>Không</w:t>
            </w:r>
            <w:r w:rsidRPr="00365C2F">
              <w:rPr>
                <w:lang w:val="vi-VN"/>
              </w:rPr>
              <w:t xml:space="preserve"> </w:t>
            </w:r>
          </w:p>
        </w:tc>
        <w:tc>
          <w:tcPr>
            <w:tcW w:w="1134" w:type="dxa"/>
            <w:vAlign w:val="center"/>
          </w:tcPr>
          <w:p w14:paraId="5279F5BE" w14:textId="233CAD64" w:rsidR="002A3468" w:rsidRPr="00365C2F" w:rsidRDefault="002A3468" w:rsidP="002A3468">
            <w:pPr>
              <w:spacing w:after="120"/>
              <w:jc w:val="center"/>
              <w:rPr>
                <w:bCs/>
                <w:color w:val="000000" w:themeColor="text1"/>
              </w:rPr>
            </w:pPr>
            <w:r w:rsidRPr="00365C2F">
              <w:rPr>
                <w:bCs/>
                <w:color w:val="000000" w:themeColor="text1"/>
              </w:rPr>
              <w:t>Toàn trình</w:t>
            </w:r>
          </w:p>
        </w:tc>
        <w:tc>
          <w:tcPr>
            <w:tcW w:w="2132" w:type="dxa"/>
            <w:vAlign w:val="center"/>
          </w:tcPr>
          <w:p w14:paraId="1DE627BF" w14:textId="0231A7A3" w:rsidR="002A3468" w:rsidRPr="00365C2F" w:rsidRDefault="002A3468" w:rsidP="00365C2F">
            <w:pPr>
              <w:spacing w:before="120" w:after="120"/>
              <w:jc w:val="center"/>
              <w:rPr>
                <w:color w:val="000000" w:themeColor="text1"/>
              </w:rPr>
            </w:pPr>
            <w:r w:rsidRPr="00365C2F">
              <w:rPr>
                <w:lang w:val="sv-SE"/>
              </w:rPr>
              <w:t>Thông tư số 46/2024/TT-BGTVT ngày 15 tháng 11 năm 2024 của Bộ Giao thông vận tải</w:t>
            </w:r>
          </w:p>
        </w:tc>
      </w:tr>
    </w:tbl>
    <w:p w14:paraId="5AA6EADA" w14:textId="77777777" w:rsidR="00D00481" w:rsidRPr="00365C2F" w:rsidRDefault="00D00481" w:rsidP="00A6419B">
      <w:pPr>
        <w:spacing w:before="20"/>
        <w:rPr>
          <w:b/>
          <w:bCs/>
          <w:color w:val="000000"/>
        </w:rPr>
      </w:pPr>
    </w:p>
    <w:p w14:paraId="379AFD4B" w14:textId="26E74E21" w:rsidR="00A6419B" w:rsidRPr="00365C2F" w:rsidRDefault="00A6419B" w:rsidP="00365C2F">
      <w:pPr>
        <w:spacing w:after="200" w:line="276" w:lineRule="auto"/>
        <w:ind w:firstLine="720"/>
        <w:rPr>
          <w:b/>
          <w:bCs/>
          <w:color w:val="000000"/>
        </w:rPr>
      </w:pPr>
      <w:r w:rsidRPr="00D00481">
        <w:rPr>
          <w:b/>
          <w:bCs/>
          <w:color w:val="000000"/>
          <w:sz w:val="28"/>
          <w:szCs w:val="28"/>
        </w:rPr>
        <w:lastRenderedPageBreak/>
        <w:t>3. Danh mục thủ thục hành chính được thay thế:</w:t>
      </w:r>
      <w:r w:rsidR="006F3BE5">
        <w:rPr>
          <w:b/>
          <w:bCs/>
          <w:color w:val="000000"/>
          <w:sz w:val="28"/>
          <w:szCs w:val="28"/>
        </w:rPr>
        <w:t xml:space="preserve"> 02</w:t>
      </w:r>
      <w:r w:rsidR="00A22D27">
        <w:rPr>
          <w:b/>
          <w:bCs/>
          <w:color w:val="000000"/>
          <w:sz w:val="28"/>
          <w:szCs w:val="28"/>
        </w:rPr>
        <w:t xml:space="preserve"> TTHC</w:t>
      </w:r>
    </w:p>
    <w:p w14:paraId="4601939E" w14:textId="364FEA74" w:rsidR="00091322" w:rsidRDefault="00091322" w:rsidP="00F83E78">
      <w:pPr>
        <w:spacing w:before="20"/>
        <w:rPr>
          <w:b/>
          <w:bCs/>
          <w:color w:val="000000"/>
        </w:rPr>
      </w:pPr>
    </w:p>
    <w:tbl>
      <w:tblPr>
        <w:tblStyle w:val="TableGrid"/>
        <w:tblW w:w="15309" w:type="dxa"/>
        <w:tblInd w:w="279" w:type="dxa"/>
        <w:tblLayout w:type="fixed"/>
        <w:tblLook w:val="04A0" w:firstRow="1" w:lastRow="0" w:firstColumn="1" w:lastColumn="0" w:noHBand="0" w:noVBand="1"/>
      </w:tblPr>
      <w:tblGrid>
        <w:gridCol w:w="709"/>
        <w:gridCol w:w="1560"/>
        <w:gridCol w:w="1559"/>
        <w:gridCol w:w="1275"/>
        <w:gridCol w:w="1702"/>
        <w:gridCol w:w="1842"/>
        <w:gridCol w:w="1702"/>
        <w:gridCol w:w="1842"/>
        <w:gridCol w:w="1134"/>
        <w:gridCol w:w="1984"/>
      </w:tblGrid>
      <w:tr w:rsidR="00A22D27" w:rsidRPr="00365C2F" w14:paraId="4210F35B" w14:textId="311F57B3" w:rsidTr="00F229B0">
        <w:trPr>
          <w:tblHeader/>
        </w:trPr>
        <w:tc>
          <w:tcPr>
            <w:tcW w:w="709" w:type="dxa"/>
            <w:vAlign w:val="center"/>
          </w:tcPr>
          <w:p w14:paraId="69E6E8C0" w14:textId="77777777" w:rsidR="00A22D27" w:rsidRPr="00365C2F" w:rsidRDefault="00A22D27" w:rsidP="00B95CD6">
            <w:pPr>
              <w:spacing w:after="120"/>
              <w:jc w:val="center"/>
              <w:rPr>
                <w:b/>
                <w:bCs/>
              </w:rPr>
            </w:pPr>
            <w:r w:rsidRPr="00365C2F">
              <w:rPr>
                <w:b/>
                <w:bCs/>
              </w:rPr>
              <w:t>STT</w:t>
            </w:r>
          </w:p>
        </w:tc>
        <w:tc>
          <w:tcPr>
            <w:tcW w:w="1560" w:type="dxa"/>
            <w:vAlign w:val="center"/>
          </w:tcPr>
          <w:p w14:paraId="5A7BF8F9" w14:textId="77777777" w:rsidR="00A22D27" w:rsidRPr="00365C2F" w:rsidRDefault="00A22D27" w:rsidP="00A22D27">
            <w:pPr>
              <w:jc w:val="center"/>
              <w:rPr>
                <w:b/>
                <w:bCs/>
              </w:rPr>
            </w:pPr>
            <w:r w:rsidRPr="00365C2F">
              <w:rPr>
                <w:b/>
                <w:bCs/>
              </w:rPr>
              <w:t>Mã TTHC</w:t>
            </w:r>
          </w:p>
        </w:tc>
        <w:tc>
          <w:tcPr>
            <w:tcW w:w="1559" w:type="dxa"/>
            <w:vAlign w:val="center"/>
          </w:tcPr>
          <w:p w14:paraId="610B3F86" w14:textId="77777777" w:rsidR="00A22D27" w:rsidRPr="00365C2F" w:rsidRDefault="00A22D27" w:rsidP="00A22D27">
            <w:pPr>
              <w:jc w:val="center"/>
              <w:rPr>
                <w:b/>
                <w:bCs/>
              </w:rPr>
            </w:pPr>
            <w:r w:rsidRPr="00365C2F">
              <w:rPr>
                <w:b/>
                <w:bCs/>
              </w:rPr>
              <w:t>Tên TTHC được thay thế</w:t>
            </w:r>
          </w:p>
        </w:tc>
        <w:tc>
          <w:tcPr>
            <w:tcW w:w="1275" w:type="dxa"/>
            <w:vAlign w:val="center"/>
          </w:tcPr>
          <w:p w14:paraId="0790D412" w14:textId="77777777" w:rsidR="00A22D27" w:rsidRPr="00365C2F" w:rsidRDefault="00A22D27" w:rsidP="00A22D27">
            <w:pPr>
              <w:jc w:val="center"/>
              <w:rPr>
                <w:b/>
                <w:bCs/>
              </w:rPr>
            </w:pPr>
            <w:r w:rsidRPr="00365C2F">
              <w:rPr>
                <w:b/>
                <w:bCs/>
              </w:rPr>
              <w:t>Mã TTHC</w:t>
            </w:r>
          </w:p>
        </w:tc>
        <w:tc>
          <w:tcPr>
            <w:tcW w:w="1702" w:type="dxa"/>
            <w:vAlign w:val="center"/>
          </w:tcPr>
          <w:p w14:paraId="5A246897" w14:textId="77777777" w:rsidR="00A22D27" w:rsidRPr="00365C2F" w:rsidRDefault="00A22D27" w:rsidP="00A22D27">
            <w:pPr>
              <w:jc w:val="center"/>
              <w:rPr>
                <w:b/>
                <w:bCs/>
              </w:rPr>
            </w:pPr>
            <w:r w:rsidRPr="00365C2F">
              <w:rPr>
                <w:b/>
                <w:bCs/>
              </w:rPr>
              <w:t>Tên TTHC thay thế</w:t>
            </w:r>
          </w:p>
        </w:tc>
        <w:tc>
          <w:tcPr>
            <w:tcW w:w="1842" w:type="dxa"/>
            <w:vAlign w:val="center"/>
          </w:tcPr>
          <w:p w14:paraId="41CD4F95" w14:textId="77777777" w:rsidR="00A22D27" w:rsidRPr="00365C2F" w:rsidRDefault="00A22D27" w:rsidP="00A22D27">
            <w:pPr>
              <w:jc w:val="center"/>
              <w:rPr>
                <w:b/>
                <w:bCs/>
              </w:rPr>
            </w:pPr>
            <w:r w:rsidRPr="00365C2F">
              <w:rPr>
                <w:b/>
                <w:bCs/>
              </w:rPr>
              <w:t>Thời hạn giải quyết</w:t>
            </w:r>
          </w:p>
        </w:tc>
        <w:tc>
          <w:tcPr>
            <w:tcW w:w="1702" w:type="dxa"/>
            <w:vAlign w:val="center"/>
          </w:tcPr>
          <w:p w14:paraId="7C72E217" w14:textId="77777777" w:rsidR="00A22D27" w:rsidRPr="00365C2F" w:rsidRDefault="00A22D27" w:rsidP="00A22D27">
            <w:pPr>
              <w:jc w:val="center"/>
              <w:rPr>
                <w:b/>
                <w:bCs/>
              </w:rPr>
            </w:pPr>
            <w:r w:rsidRPr="00365C2F">
              <w:rPr>
                <w:b/>
                <w:bCs/>
              </w:rPr>
              <w:t>Địa điểm thực hiện</w:t>
            </w:r>
          </w:p>
        </w:tc>
        <w:tc>
          <w:tcPr>
            <w:tcW w:w="1842" w:type="dxa"/>
            <w:vAlign w:val="center"/>
          </w:tcPr>
          <w:p w14:paraId="5E5879D3" w14:textId="77777777" w:rsidR="00A22D27" w:rsidRPr="00365C2F" w:rsidRDefault="00A22D27" w:rsidP="00A22D27">
            <w:pPr>
              <w:jc w:val="center"/>
              <w:rPr>
                <w:b/>
                <w:bCs/>
              </w:rPr>
            </w:pPr>
            <w:r w:rsidRPr="00365C2F">
              <w:rPr>
                <w:b/>
                <w:bCs/>
              </w:rPr>
              <w:t>Phí, lệ phí (nếu có)</w:t>
            </w:r>
          </w:p>
        </w:tc>
        <w:tc>
          <w:tcPr>
            <w:tcW w:w="1134" w:type="dxa"/>
            <w:vAlign w:val="center"/>
          </w:tcPr>
          <w:p w14:paraId="03467C08" w14:textId="77777777" w:rsidR="00A22D27" w:rsidRPr="00365C2F" w:rsidRDefault="00A22D27" w:rsidP="00A22D27">
            <w:pPr>
              <w:jc w:val="center"/>
              <w:rPr>
                <w:b/>
                <w:bCs/>
                <w:color w:val="000000" w:themeColor="text1"/>
              </w:rPr>
            </w:pPr>
            <w:r w:rsidRPr="00365C2F">
              <w:rPr>
                <w:b/>
                <w:bCs/>
                <w:color w:val="000000" w:themeColor="text1"/>
              </w:rPr>
              <w:t>Mức dịch vụ công trực tuyến</w:t>
            </w:r>
          </w:p>
        </w:tc>
        <w:tc>
          <w:tcPr>
            <w:tcW w:w="1984" w:type="dxa"/>
            <w:vAlign w:val="center"/>
          </w:tcPr>
          <w:p w14:paraId="1A744745" w14:textId="14289F99" w:rsidR="00A22D27" w:rsidRPr="00365C2F" w:rsidRDefault="002B1697" w:rsidP="00B973D9">
            <w:pPr>
              <w:jc w:val="center"/>
              <w:rPr>
                <w:b/>
                <w:bCs/>
                <w:color w:val="000000" w:themeColor="text1"/>
              </w:rPr>
            </w:pPr>
            <w:r w:rsidRPr="00365C2F">
              <w:rPr>
                <w:b/>
                <w:bCs/>
                <w:color w:val="000000" w:themeColor="text1"/>
              </w:rPr>
              <w:t xml:space="preserve">Căn cứ </w:t>
            </w:r>
            <w:r w:rsidR="00B973D9" w:rsidRPr="00365C2F">
              <w:rPr>
                <w:b/>
                <w:bCs/>
                <w:color w:val="000000" w:themeColor="text1"/>
              </w:rPr>
              <w:t>pháp lý</w:t>
            </w:r>
          </w:p>
        </w:tc>
      </w:tr>
      <w:tr w:rsidR="00365C2F" w:rsidRPr="00365C2F" w14:paraId="73390DF2" w14:textId="79DEE25A" w:rsidTr="00F229B0">
        <w:trPr>
          <w:trHeight w:val="2119"/>
        </w:trPr>
        <w:tc>
          <w:tcPr>
            <w:tcW w:w="709" w:type="dxa"/>
            <w:vAlign w:val="center"/>
          </w:tcPr>
          <w:p w14:paraId="1F54C999" w14:textId="3BF144B7" w:rsidR="00365C2F" w:rsidRPr="00365C2F" w:rsidRDefault="00365C2F" w:rsidP="00F237F6">
            <w:pPr>
              <w:jc w:val="center"/>
              <w:rPr>
                <w:shd w:val="clear" w:color="auto" w:fill="FFFFFF"/>
              </w:rPr>
            </w:pPr>
            <w:r w:rsidRPr="00365C2F">
              <w:t>1</w:t>
            </w:r>
          </w:p>
        </w:tc>
        <w:tc>
          <w:tcPr>
            <w:tcW w:w="1560" w:type="dxa"/>
            <w:vAlign w:val="center"/>
          </w:tcPr>
          <w:p w14:paraId="12C6AD67" w14:textId="18EBFB77" w:rsidR="00365C2F" w:rsidRPr="00365C2F" w:rsidRDefault="00365C2F" w:rsidP="00365C2F">
            <w:pPr>
              <w:jc w:val="center"/>
              <w:rPr>
                <w:shd w:val="clear" w:color="auto" w:fill="FFFFFF"/>
              </w:rPr>
            </w:pPr>
            <w:r w:rsidRPr="00365C2F">
              <w:t>1.001261</w:t>
            </w:r>
          </w:p>
        </w:tc>
        <w:tc>
          <w:tcPr>
            <w:tcW w:w="1559" w:type="dxa"/>
            <w:vAlign w:val="center"/>
          </w:tcPr>
          <w:p w14:paraId="6AF71272" w14:textId="0DFA95ED" w:rsidR="00365C2F" w:rsidRPr="00365C2F" w:rsidRDefault="00365C2F" w:rsidP="00365C2F">
            <w:pPr>
              <w:jc w:val="both"/>
              <w:rPr>
                <w:shd w:val="clear" w:color="auto" w:fill="FFFFFF"/>
              </w:rPr>
            </w:pPr>
            <w:r w:rsidRPr="00365C2F">
              <w:t>Cấp Giấy chứng nhận, Tem kiểm định an toàn kỹ thuật và bảo vệ môi trường đối với phương tiện giao thông cơ giới đường bộ</w:t>
            </w:r>
          </w:p>
        </w:tc>
        <w:tc>
          <w:tcPr>
            <w:tcW w:w="1275" w:type="dxa"/>
            <w:vMerge w:val="restart"/>
            <w:vAlign w:val="center"/>
          </w:tcPr>
          <w:p w14:paraId="238B8AF0" w14:textId="77777777" w:rsidR="00365C2F" w:rsidRPr="00365C2F" w:rsidRDefault="00365C2F" w:rsidP="00365C2F">
            <w:pPr>
              <w:rPr>
                <w:color w:val="000000" w:themeColor="text1"/>
              </w:rPr>
            </w:pPr>
            <w:r w:rsidRPr="00365C2F">
              <w:rPr>
                <w:color w:val="000000" w:themeColor="text1"/>
                <w:shd w:val="clear" w:color="auto" w:fill="FFFFFF"/>
              </w:rPr>
              <w:t>1.013205</w:t>
            </w:r>
          </w:p>
        </w:tc>
        <w:tc>
          <w:tcPr>
            <w:tcW w:w="1702" w:type="dxa"/>
            <w:vMerge w:val="restart"/>
            <w:vAlign w:val="center"/>
          </w:tcPr>
          <w:p w14:paraId="3B5DE5D7" w14:textId="77777777" w:rsidR="00365C2F" w:rsidRPr="00365C2F" w:rsidRDefault="00365C2F" w:rsidP="00365C2F">
            <w:pPr>
              <w:pStyle w:val="Heading1"/>
              <w:spacing w:before="120" w:after="120"/>
              <w:jc w:val="both"/>
              <w:outlineLvl w:val="0"/>
              <w:rPr>
                <w:rFonts w:ascii="Times New Roman" w:hAnsi="Times New Roman"/>
                <w:b w:val="0"/>
                <w:bCs w:val="0"/>
                <w:color w:val="000000" w:themeColor="text1"/>
                <w:sz w:val="24"/>
                <w:szCs w:val="24"/>
                <w:lang w:val="en-US"/>
              </w:rPr>
            </w:pPr>
            <w:r w:rsidRPr="00365C2F">
              <w:rPr>
                <w:rFonts w:ascii="Times New Roman" w:hAnsi="Times New Roman"/>
                <w:b w:val="0"/>
                <w:bCs w:val="0"/>
                <w:color w:val="000000" w:themeColor="text1"/>
                <w:sz w:val="24"/>
                <w:szCs w:val="24"/>
              </w:rPr>
              <w:t xml:space="preserve">Cấp Giấy chứng nhận kiểm định, Tem kiểm định an toàn kỹ thuật và bảo vệ môi trường cho xe </w:t>
            </w:r>
            <w:r w:rsidRPr="00365C2F">
              <w:rPr>
                <w:rFonts w:ascii="Times New Roman" w:hAnsi="Times New Roman"/>
                <w:b w:val="0"/>
                <w:bCs w:val="0"/>
                <w:color w:val="000000" w:themeColor="text1"/>
                <w:sz w:val="24"/>
                <w:szCs w:val="24"/>
                <w:lang w:val="en-US"/>
              </w:rPr>
              <w:t xml:space="preserve">máy chuyên dùng </w:t>
            </w:r>
          </w:p>
          <w:p w14:paraId="1C473BFB" w14:textId="77777777" w:rsidR="00365C2F" w:rsidRPr="00365C2F" w:rsidRDefault="00365C2F" w:rsidP="00365C2F">
            <w:pPr>
              <w:jc w:val="both"/>
              <w:rPr>
                <w:color w:val="000000" w:themeColor="text1"/>
              </w:rPr>
            </w:pPr>
          </w:p>
        </w:tc>
        <w:tc>
          <w:tcPr>
            <w:tcW w:w="1842" w:type="dxa"/>
            <w:vMerge w:val="restart"/>
            <w:vAlign w:val="center"/>
          </w:tcPr>
          <w:p w14:paraId="73D4BB9C" w14:textId="77777777" w:rsidR="00365C2F" w:rsidRPr="00365C2F" w:rsidRDefault="00365C2F" w:rsidP="00365C2F">
            <w:pPr>
              <w:jc w:val="both"/>
              <w:rPr>
                <w:iCs/>
                <w:color w:val="000000" w:themeColor="text1"/>
                <w:lang w:val="nl-NL"/>
              </w:rPr>
            </w:pPr>
            <w:r w:rsidRPr="00365C2F">
              <w:rPr>
                <w:color w:val="000000" w:themeColor="text1"/>
              </w:rPr>
              <w:t>- Thời hạn kiểm tra, đánh giá</w:t>
            </w:r>
            <w:r w:rsidRPr="00365C2F">
              <w:rPr>
                <w:b/>
                <w:iCs/>
                <w:color w:val="000000" w:themeColor="text1"/>
                <w:lang w:val="nl-NL"/>
              </w:rPr>
              <w:t xml:space="preserve"> </w:t>
            </w:r>
            <w:r w:rsidRPr="00365C2F">
              <w:rPr>
                <w:color w:val="000000" w:themeColor="text1"/>
              </w:rPr>
              <w:t xml:space="preserve">hồ sơ: </w:t>
            </w:r>
            <w:r w:rsidRPr="00365C2F">
              <w:rPr>
                <w:iCs/>
                <w:color w:val="000000" w:themeColor="text1"/>
                <w:lang w:val="nl-NL"/>
              </w:rPr>
              <w:t>ngay trong ngày nhận được hồ sơ;</w:t>
            </w:r>
          </w:p>
          <w:p w14:paraId="432E4F0D" w14:textId="77777777" w:rsidR="00365C2F" w:rsidRPr="00365C2F" w:rsidRDefault="00365C2F" w:rsidP="00365C2F">
            <w:pPr>
              <w:jc w:val="both"/>
              <w:rPr>
                <w:iCs/>
                <w:color w:val="000000" w:themeColor="text1"/>
                <w:lang w:val="nl-NL"/>
              </w:rPr>
            </w:pPr>
            <w:r w:rsidRPr="00365C2F">
              <w:rPr>
                <w:iCs/>
                <w:color w:val="000000" w:themeColor="text1"/>
                <w:lang w:val="nl-NL"/>
              </w:rPr>
              <w:t xml:space="preserve">- Thời hạn kiểm tra, đánh giá xe: </w:t>
            </w:r>
          </w:p>
          <w:p w14:paraId="629B7778" w14:textId="16C93310" w:rsidR="00365C2F" w:rsidRPr="00365C2F" w:rsidRDefault="00365C2F" w:rsidP="00365C2F">
            <w:pPr>
              <w:jc w:val="both"/>
              <w:rPr>
                <w:iCs/>
                <w:color w:val="000000" w:themeColor="text1"/>
                <w:lang w:val="nl-NL"/>
              </w:rPr>
            </w:pPr>
            <w:r w:rsidRPr="00365C2F">
              <w:rPr>
                <w:iCs/>
                <w:color w:val="000000" w:themeColor="text1"/>
                <w:lang w:val="nl-NL"/>
              </w:rPr>
              <w:t>+ Trường hợp kiểm định tại cơ sở đăng kiểm: ngay khi nhận được hồ sơ.</w:t>
            </w:r>
          </w:p>
          <w:p w14:paraId="646E81CE" w14:textId="48BB1AF9" w:rsidR="00365C2F" w:rsidRPr="00365C2F" w:rsidRDefault="00365C2F" w:rsidP="00365C2F">
            <w:pPr>
              <w:jc w:val="both"/>
              <w:rPr>
                <w:iCs/>
                <w:color w:val="000000" w:themeColor="text1"/>
                <w:lang w:val="nl-NL"/>
              </w:rPr>
            </w:pPr>
            <w:r w:rsidRPr="00365C2F">
              <w:rPr>
                <w:iCs/>
                <w:color w:val="000000" w:themeColor="text1"/>
                <w:lang w:val="nl-NL"/>
              </w:rPr>
              <w:t>+ Trường hợp kiểm định ngoài đơn vị: tiến hành kiểm tra, đánh giá xe theo lịch hẹn.</w:t>
            </w:r>
          </w:p>
          <w:p w14:paraId="2297600A" w14:textId="77777777" w:rsidR="00365C2F" w:rsidRPr="00365C2F" w:rsidRDefault="00365C2F" w:rsidP="00365C2F">
            <w:pPr>
              <w:jc w:val="both"/>
              <w:rPr>
                <w:iCs/>
                <w:color w:val="000000" w:themeColor="text1"/>
                <w:lang w:val="nl-NL"/>
              </w:rPr>
            </w:pPr>
          </w:p>
          <w:p w14:paraId="05D458C0" w14:textId="77777777" w:rsidR="00365C2F" w:rsidRPr="00365C2F" w:rsidRDefault="00365C2F" w:rsidP="00365C2F">
            <w:pPr>
              <w:jc w:val="both"/>
              <w:rPr>
                <w:iCs/>
                <w:color w:val="000000" w:themeColor="text1"/>
                <w:lang w:val="nl-NL"/>
              </w:rPr>
            </w:pPr>
            <w:r w:rsidRPr="00365C2F">
              <w:rPr>
                <w:iCs/>
                <w:color w:val="000000" w:themeColor="text1"/>
                <w:lang w:val="nl-NL"/>
              </w:rPr>
              <w:t xml:space="preserve">- Thời hạn trả kết quả: </w:t>
            </w:r>
          </w:p>
          <w:p w14:paraId="3E5D6384" w14:textId="77777777" w:rsidR="00365C2F" w:rsidRPr="00365C2F" w:rsidRDefault="00365C2F" w:rsidP="00365C2F">
            <w:pPr>
              <w:jc w:val="both"/>
              <w:rPr>
                <w:rFonts w:eastAsia="Calibri"/>
                <w:color w:val="000000" w:themeColor="text1"/>
                <w:kern w:val="2"/>
                <w:lang w:val="vi-VN"/>
              </w:rPr>
            </w:pPr>
            <w:r w:rsidRPr="00365C2F">
              <w:rPr>
                <w:iCs/>
                <w:color w:val="000000" w:themeColor="text1"/>
                <w:lang w:val="nl-NL"/>
              </w:rPr>
              <w:t>+ Trường hợp kiểm định tại cơ sở đăng kiểm: ngay sau khi kết thúc việc kiểm tra, đánh giá;</w:t>
            </w:r>
            <w:r w:rsidRPr="00365C2F">
              <w:rPr>
                <w:rFonts w:eastAsia="Calibri"/>
                <w:color w:val="000000" w:themeColor="text1"/>
                <w:kern w:val="2"/>
                <w:lang w:val="vi-VN"/>
              </w:rPr>
              <w:t xml:space="preserve"> </w:t>
            </w:r>
          </w:p>
          <w:p w14:paraId="1FBF92E8" w14:textId="77777777" w:rsidR="00365C2F" w:rsidRPr="00365C2F" w:rsidRDefault="00365C2F" w:rsidP="00365C2F">
            <w:pPr>
              <w:jc w:val="both"/>
              <w:rPr>
                <w:color w:val="000000" w:themeColor="text1"/>
                <w:lang w:val="fr-FR"/>
              </w:rPr>
            </w:pPr>
            <w:r w:rsidRPr="00365C2F">
              <w:rPr>
                <w:rFonts w:eastAsia="Calibri"/>
                <w:color w:val="000000" w:themeColor="text1"/>
                <w:kern w:val="2"/>
              </w:rPr>
              <w:t xml:space="preserve">+ </w:t>
            </w:r>
            <w:r w:rsidRPr="00365C2F">
              <w:rPr>
                <w:iCs/>
                <w:color w:val="000000" w:themeColor="text1"/>
                <w:lang w:val="nl-NL"/>
              </w:rPr>
              <w:t xml:space="preserve">Trường hợp kiểm định ngoài đơn vị đăng kiểm: </w:t>
            </w:r>
            <w:r w:rsidRPr="00365C2F">
              <w:rPr>
                <w:rFonts w:eastAsia="Calibri"/>
                <w:color w:val="000000" w:themeColor="text1"/>
                <w:kern w:val="2"/>
                <w:lang w:val="vi-VN"/>
              </w:rPr>
              <w:t>03 ngày làm việc kể từ khi kết thúc kiểm tra</w:t>
            </w:r>
            <w:r w:rsidRPr="00365C2F">
              <w:rPr>
                <w:color w:val="000000" w:themeColor="text1"/>
              </w:rPr>
              <w:t>.</w:t>
            </w:r>
          </w:p>
          <w:p w14:paraId="1373A19B" w14:textId="77777777" w:rsidR="00365C2F" w:rsidRPr="00365C2F" w:rsidRDefault="00365C2F" w:rsidP="00365C2F">
            <w:pPr>
              <w:rPr>
                <w:color w:val="000000" w:themeColor="text1"/>
              </w:rPr>
            </w:pPr>
          </w:p>
        </w:tc>
        <w:tc>
          <w:tcPr>
            <w:tcW w:w="1702" w:type="dxa"/>
            <w:vMerge w:val="restart"/>
            <w:vAlign w:val="center"/>
          </w:tcPr>
          <w:p w14:paraId="22443169" w14:textId="77777777" w:rsidR="00365C2F" w:rsidRPr="00365C2F" w:rsidRDefault="00365C2F" w:rsidP="00365C2F">
            <w:pPr>
              <w:spacing w:before="120"/>
              <w:jc w:val="both"/>
              <w:rPr>
                <w:bCs/>
                <w:color w:val="000000" w:themeColor="text1"/>
              </w:rPr>
            </w:pPr>
            <w:r w:rsidRPr="00365C2F">
              <w:rPr>
                <w:bCs/>
                <w:color w:val="000000" w:themeColor="text1"/>
              </w:rPr>
              <w:lastRenderedPageBreak/>
              <w:t xml:space="preserve">-Cơ quan tiếp nhận và thực hiện giải quyết TTHC: Đơn vị đăng kiểm </w:t>
            </w:r>
          </w:p>
          <w:p w14:paraId="5836A0D8" w14:textId="2D2846F6" w:rsidR="00365C2F" w:rsidRPr="00365C2F" w:rsidRDefault="00365C2F" w:rsidP="00365C2F">
            <w:pPr>
              <w:spacing w:before="120"/>
              <w:jc w:val="both"/>
              <w:rPr>
                <w:color w:val="000000" w:themeColor="text1"/>
              </w:rPr>
            </w:pPr>
            <w:r w:rsidRPr="00365C2F">
              <w:rPr>
                <w:bCs/>
                <w:color w:val="000000" w:themeColor="text1"/>
              </w:rPr>
              <w:t xml:space="preserve">-Địa điểm tiếp nhận hồ sơ: Đơn vị đăng kiểm </w:t>
            </w:r>
          </w:p>
        </w:tc>
        <w:tc>
          <w:tcPr>
            <w:tcW w:w="1842" w:type="dxa"/>
            <w:vMerge w:val="restart"/>
            <w:vAlign w:val="center"/>
          </w:tcPr>
          <w:p w14:paraId="6D68EFBF" w14:textId="77777777" w:rsidR="00365C2F" w:rsidRPr="00365C2F" w:rsidRDefault="00365C2F" w:rsidP="00365C2F">
            <w:pPr>
              <w:jc w:val="both"/>
              <w:rPr>
                <w:lang w:val="sv-SE"/>
              </w:rPr>
            </w:pPr>
            <w:r w:rsidRPr="00365C2F">
              <w:rPr>
                <w:lang w:val="sv-SE"/>
              </w:rPr>
              <w:t>- Lệ phí giấy chứng nhận: 40.000 đồng/01 Giấy chứng nhận kiểm định, riêng đối với ô tô dưới 10 chỗ ngồi (không bao gồm xe cứu thương): 90.000 đồng/01 Giấy chứng nhận.</w:t>
            </w:r>
          </w:p>
          <w:p w14:paraId="2BD68F83" w14:textId="4DE83AF9" w:rsidR="00365C2F" w:rsidRPr="00365C2F" w:rsidRDefault="00365C2F" w:rsidP="00365C2F">
            <w:pPr>
              <w:jc w:val="both"/>
              <w:rPr>
                <w:color w:val="000000" w:themeColor="text1"/>
              </w:rPr>
            </w:pPr>
            <w:r w:rsidRPr="00365C2F">
              <w:rPr>
                <w:lang w:val="sv-SE"/>
              </w:rPr>
              <w:t xml:space="preserve">- Giá dịch vụ kiểm định an toàn kỹ thuật và bảo về môi trường:  Thông tư số </w:t>
            </w:r>
            <w:r w:rsidRPr="00365C2F">
              <w:rPr>
                <w:lang w:val="sv-SE"/>
              </w:rPr>
              <w:lastRenderedPageBreak/>
              <w:t>238/2016/TT-BTC ngày 11/11/2016 và Thông tư số 55/2022/TT-BTC ngày 24/8/2022 của Bộ trưởng Bộ Tài chính.</w:t>
            </w:r>
          </w:p>
        </w:tc>
        <w:tc>
          <w:tcPr>
            <w:tcW w:w="1134" w:type="dxa"/>
            <w:vMerge w:val="restart"/>
            <w:vAlign w:val="center"/>
          </w:tcPr>
          <w:p w14:paraId="0F2756C9" w14:textId="1F524A03" w:rsidR="00365C2F" w:rsidRPr="00365C2F" w:rsidRDefault="00365C2F" w:rsidP="00365C2F">
            <w:pPr>
              <w:spacing w:before="120" w:after="120"/>
              <w:jc w:val="center"/>
              <w:rPr>
                <w:color w:val="FF0000"/>
              </w:rPr>
            </w:pPr>
            <w:r w:rsidRPr="00365C2F">
              <w:rPr>
                <w:color w:val="000000" w:themeColor="text1"/>
              </w:rPr>
              <w:lastRenderedPageBreak/>
              <w:t>Một phần</w:t>
            </w:r>
          </w:p>
        </w:tc>
        <w:tc>
          <w:tcPr>
            <w:tcW w:w="1984" w:type="dxa"/>
            <w:vMerge w:val="restart"/>
            <w:vAlign w:val="center"/>
          </w:tcPr>
          <w:p w14:paraId="36ED01CE" w14:textId="77777777" w:rsidR="00365C2F" w:rsidRPr="00365C2F" w:rsidRDefault="00365C2F" w:rsidP="00365C2F">
            <w:pPr>
              <w:jc w:val="center"/>
              <w:rPr>
                <w:lang w:val="sv-SE"/>
              </w:rPr>
            </w:pPr>
            <w:r w:rsidRPr="00365C2F">
              <w:rPr>
                <w:lang w:val="sv-SE"/>
              </w:rPr>
              <w:t>- Thông tư số 47/2024/TT-BGTVT ngày 15 tháng 11 năm 2024 của Bộ Giao thông vận.</w:t>
            </w:r>
          </w:p>
          <w:p w14:paraId="3D6B09D6" w14:textId="77777777" w:rsidR="00365C2F" w:rsidRPr="00365C2F" w:rsidRDefault="00365C2F" w:rsidP="00365C2F">
            <w:pPr>
              <w:jc w:val="center"/>
            </w:pPr>
            <w:r w:rsidRPr="00365C2F">
              <w:t>- Thông tư số 199/2016/TT-BTC ngày 08 tháng 11 năm 2016; Thông tư số 36/2022/TT-BTC ngày 08 tháng 11 năm 2016 của Bộ Tài chính</w:t>
            </w:r>
          </w:p>
          <w:p w14:paraId="769E910D" w14:textId="4E6533F4" w:rsidR="00365C2F" w:rsidRPr="00365C2F" w:rsidRDefault="00365C2F" w:rsidP="00365C2F">
            <w:pPr>
              <w:jc w:val="center"/>
              <w:rPr>
                <w:color w:val="000000" w:themeColor="text1"/>
                <w:lang w:val="sv-SE"/>
              </w:rPr>
            </w:pPr>
            <w:r w:rsidRPr="00365C2F">
              <w:t xml:space="preserve">- Thông tư số 238/2016/TT-BTC ngày 11 </w:t>
            </w:r>
            <w:r w:rsidRPr="00365C2F">
              <w:lastRenderedPageBreak/>
              <w:t>tháng 12 năm 2016; Thông tư số 55/2022/TT-BTC ngày 24 tháng 8 năm 2022 của Bộ Tài chính</w:t>
            </w:r>
          </w:p>
        </w:tc>
      </w:tr>
      <w:tr w:rsidR="00365C2F" w:rsidRPr="00365C2F" w14:paraId="52B9BA3B" w14:textId="3C2F9164" w:rsidTr="00F229B0">
        <w:trPr>
          <w:trHeight w:val="1260"/>
        </w:trPr>
        <w:tc>
          <w:tcPr>
            <w:tcW w:w="709" w:type="dxa"/>
            <w:vAlign w:val="center"/>
          </w:tcPr>
          <w:p w14:paraId="3BE42911" w14:textId="5FC3A1D2" w:rsidR="00365C2F" w:rsidRPr="00365C2F" w:rsidRDefault="00365C2F" w:rsidP="00F237F6">
            <w:pPr>
              <w:jc w:val="center"/>
              <w:rPr>
                <w:shd w:val="clear" w:color="auto" w:fill="FFFFFF"/>
              </w:rPr>
            </w:pPr>
            <w:r w:rsidRPr="00365C2F">
              <w:t>2</w:t>
            </w:r>
          </w:p>
        </w:tc>
        <w:tc>
          <w:tcPr>
            <w:tcW w:w="1560" w:type="dxa"/>
            <w:vAlign w:val="center"/>
          </w:tcPr>
          <w:p w14:paraId="3B084805" w14:textId="4A45BD6B" w:rsidR="00365C2F" w:rsidRPr="00365C2F" w:rsidRDefault="00365C2F" w:rsidP="00365C2F">
            <w:pPr>
              <w:jc w:val="center"/>
              <w:rPr>
                <w:shd w:val="clear" w:color="auto" w:fill="FFFFFF"/>
              </w:rPr>
            </w:pPr>
            <w:r w:rsidRPr="00365C2F">
              <w:t>1.004325</w:t>
            </w:r>
          </w:p>
        </w:tc>
        <w:tc>
          <w:tcPr>
            <w:tcW w:w="1559" w:type="dxa"/>
            <w:vAlign w:val="center"/>
          </w:tcPr>
          <w:p w14:paraId="47BFAF4C" w14:textId="0C886D4C" w:rsidR="00365C2F" w:rsidRPr="00365C2F" w:rsidRDefault="00365C2F" w:rsidP="00365C2F">
            <w:pPr>
              <w:jc w:val="both"/>
              <w:rPr>
                <w:shd w:val="clear" w:color="auto" w:fill="FFFFFF"/>
              </w:rPr>
            </w:pPr>
            <w:r w:rsidRPr="00365C2F">
              <w:t>Cấp Giấy chứng nhận lưu hành, tem lưu hành cho xe chở hàng bốn bánh có gắn động cơ</w:t>
            </w:r>
          </w:p>
        </w:tc>
        <w:tc>
          <w:tcPr>
            <w:tcW w:w="1275" w:type="dxa"/>
            <w:vMerge/>
            <w:vAlign w:val="center"/>
          </w:tcPr>
          <w:p w14:paraId="1FB4DB64" w14:textId="77777777" w:rsidR="00365C2F" w:rsidRPr="00365C2F" w:rsidRDefault="00365C2F" w:rsidP="00365C2F">
            <w:pPr>
              <w:rPr>
                <w:shd w:val="clear" w:color="auto" w:fill="FFFFFF"/>
              </w:rPr>
            </w:pPr>
          </w:p>
        </w:tc>
        <w:tc>
          <w:tcPr>
            <w:tcW w:w="1702" w:type="dxa"/>
            <w:vMerge/>
            <w:vAlign w:val="center"/>
          </w:tcPr>
          <w:p w14:paraId="78514A91" w14:textId="77777777" w:rsidR="00365C2F" w:rsidRPr="00365C2F" w:rsidRDefault="00365C2F" w:rsidP="00365C2F">
            <w:pPr>
              <w:pStyle w:val="Heading1"/>
              <w:spacing w:before="120" w:after="120"/>
              <w:jc w:val="both"/>
              <w:outlineLvl w:val="0"/>
              <w:rPr>
                <w:rFonts w:ascii="Times New Roman" w:hAnsi="Times New Roman"/>
                <w:sz w:val="24"/>
                <w:szCs w:val="24"/>
              </w:rPr>
            </w:pPr>
          </w:p>
        </w:tc>
        <w:tc>
          <w:tcPr>
            <w:tcW w:w="1842" w:type="dxa"/>
            <w:vMerge/>
            <w:vAlign w:val="center"/>
          </w:tcPr>
          <w:p w14:paraId="61A68234" w14:textId="77777777" w:rsidR="00365C2F" w:rsidRPr="00365C2F" w:rsidRDefault="00365C2F" w:rsidP="00365C2F">
            <w:pPr>
              <w:spacing w:before="120" w:after="120"/>
              <w:jc w:val="both"/>
            </w:pPr>
          </w:p>
        </w:tc>
        <w:tc>
          <w:tcPr>
            <w:tcW w:w="1702" w:type="dxa"/>
            <w:vMerge/>
            <w:vAlign w:val="center"/>
          </w:tcPr>
          <w:p w14:paraId="4BDDE386" w14:textId="77777777" w:rsidR="00365C2F" w:rsidRPr="00365C2F" w:rsidRDefault="00365C2F" w:rsidP="00365C2F">
            <w:pPr>
              <w:pStyle w:val="TOC2"/>
              <w:shd w:val="clear" w:color="auto" w:fill="FFFFFF"/>
              <w:rPr>
                <w:rFonts w:ascii="Times New Roman" w:hAnsi="Times New Roman" w:cs="Times New Roman"/>
                <w:color w:val="auto"/>
                <w:sz w:val="24"/>
                <w:szCs w:val="24"/>
              </w:rPr>
            </w:pPr>
          </w:p>
        </w:tc>
        <w:tc>
          <w:tcPr>
            <w:tcW w:w="1842" w:type="dxa"/>
            <w:vMerge/>
            <w:vAlign w:val="center"/>
          </w:tcPr>
          <w:p w14:paraId="1A6E7555" w14:textId="77777777" w:rsidR="00365C2F" w:rsidRPr="00365C2F" w:rsidRDefault="00365C2F" w:rsidP="00365C2F">
            <w:pPr>
              <w:spacing w:before="120" w:after="120"/>
              <w:jc w:val="both"/>
              <w:rPr>
                <w:lang w:val="sv-SE"/>
              </w:rPr>
            </w:pPr>
          </w:p>
        </w:tc>
        <w:tc>
          <w:tcPr>
            <w:tcW w:w="1134" w:type="dxa"/>
            <w:vMerge/>
            <w:vAlign w:val="center"/>
          </w:tcPr>
          <w:p w14:paraId="1A97F5B4" w14:textId="77777777" w:rsidR="00365C2F" w:rsidRPr="00365C2F" w:rsidRDefault="00365C2F" w:rsidP="00365C2F">
            <w:pPr>
              <w:spacing w:before="120" w:after="120"/>
              <w:jc w:val="both"/>
              <w:rPr>
                <w:lang w:val="sv-SE"/>
              </w:rPr>
            </w:pPr>
          </w:p>
        </w:tc>
        <w:tc>
          <w:tcPr>
            <w:tcW w:w="1984" w:type="dxa"/>
            <w:vMerge/>
          </w:tcPr>
          <w:p w14:paraId="07E971F0" w14:textId="77777777" w:rsidR="00365C2F" w:rsidRPr="00365C2F" w:rsidRDefault="00365C2F" w:rsidP="00365C2F">
            <w:pPr>
              <w:spacing w:before="120" w:after="120"/>
              <w:jc w:val="both"/>
              <w:rPr>
                <w:lang w:val="sv-SE"/>
              </w:rPr>
            </w:pPr>
          </w:p>
        </w:tc>
      </w:tr>
      <w:tr w:rsidR="00365C2F" w:rsidRPr="00365C2F" w14:paraId="3E304332" w14:textId="21C4B80A" w:rsidTr="00F229B0">
        <w:trPr>
          <w:trHeight w:val="2850"/>
        </w:trPr>
        <w:tc>
          <w:tcPr>
            <w:tcW w:w="709" w:type="dxa"/>
            <w:vAlign w:val="center"/>
          </w:tcPr>
          <w:p w14:paraId="07167B5F" w14:textId="4DA56173" w:rsidR="00365C2F" w:rsidRPr="00365C2F" w:rsidRDefault="00365C2F" w:rsidP="00365C2F">
            <w:pPr>
              <w:rPr>
                <w:shd w:val="clear" w:color="auto" w:fill="FFFFFF"/>
              </w:rPr>
            </w:pPr>
            <w:r w:rsidRPr="00365C2F">
              <w:lastRenderedPageBreak/>
              <w:t>3</w:t>
            </w:r>
          </w:p>
        </w:tc>
        <w:tc>
          <w:tcPr>
            <w:tcW w:w="1560" w:type="dxa"/>
            <w:vAlign w:val="center"/>
          </w:tcPr>
          <w:p w14:paraId="04879BEB" w14:textId="66F9A2DF" w:rsidR="00365C2F" w:rsidRPr="00365C2F" w:rsidRDefault="00365C2F" w:rsidP="00365C2F">
            <w:pPr>
              <w:jc w:val="center"/>
              <w:rPr>
                <w:shd w:val="clear" w:color="auto" w:fill="FFFFFF"/>
              </w:rPr>
            </w:pPr>
            <w:r w:rsidRPr="00365C2F">
              <w:t>1.005005</w:t>
            </w:r>
          </w:p>
        </w:tc>
        <w:tc>
          <w:tcPr>
            <w:tcW w:w="1559" w:type="dxa"/>
            <w:vAlign w:val="center"/>
          </w:tcPr>
          <w:p w14:paraId="617546E2" w14:textId="61297AC6" w:rsidR="00365C2F" w:rsidRPr="00365C2F" w:rsidRDefault="00365C2F" w:rsidP="00365C2F">
            <w:pPr>
              <w:jc w:val="both"/>
              <w:rPr>
                <w:shd w:val="clear" w:color="auto" w:fill="FFFFFF"/>
              </w:rPr>
            </w:pPr>
            <w:r w:rsidRPr="00365C2F">
              <w:t>Cấp Giấy chứng nhận chất lượng an toàn kỹ thuật và bảo vệ môi trường trong kiểm tra lưu hành xe chở người bốn bánh có gắn động cơ</w:t>
            </w:r>
          </w:p>
        </w:tc>
        <w:tc>
          <w:tcPr>
            <w:tcW w:w="1275" w:type="dxa"/>
            <w:vMerge/>
            <w:vAlign w:val="center"/>
          </w:tcPr>
          <w:p w14:paraId="6B2D3500" w14:textId="77777777" w:rsidR="00365C2F" w:rsidRPr="00365C2F" w:rsidRDefault="00365C2F" w:rsidP="00365C2F">
            <w:pPr>
              <w:rPr>
                <w:shd w:val="clear" w:color="auto" w:fill="FFFFFF"/>
              </w:rPr>
            </w:pPr>
          </w:p>
        </w:tc>
        <w:tc>
          <w:tcPr>
            <w:tcW w:w="1702" w:type="dxa"/>
            <w:vMerge/>
            <w:vAlign w:val="center"/>
          </w:tcPr>
          <w:p w14:paraId="4057263A" w14:textId="77777777" w:rsidR="00365C2F" w:rsidRPr="00365C2F" w:rsidRDefault="00365C2F" w:rsidP="00365C2F">
            <w:pPr>
              <w:pStyle w:val="Heading1"/>
              <w:spacing w:before="120" w:after="120"/>
              <w:jc w:val="both"/>
              <w:outlineLvl w:val="0"/>
              <w:rPr>
                <w:rFonts w:ascii="Times New Roman" w:hAnsi="Times New Roman"/>
                <w:sz w:val="24"/>
                <w:szCs w:val="24"/>
              </w:rPr>
            </w:pPr>
          </w:p>
        </w:tc>
        <w:tc>
          <w:tcPr>
            <w:tcW w:w="1842" w:type="dxa"/>
            <w:vMerge/>
            <w:vAlign w:val="center"/>
          </w:tcPr>
          <w:p w14:paraId="6A626831" w14:textId="77777777" w:rsidR="00365C2F" w:rsidRPr="00365C2F" w:rsidRDefault="00365C2F" w:rsidP="00365C2F">
            <w:pPr>
              <w:spacing w:before="120" w:after="120"/>
              <w:jc w:val="both"/>
            </w:pPr>
          </w:p>
        </w:tc>
        <w:tc>
          <w:tcPr>
            <w:tcW w:w="1702" w:type="dxa"/>
            <w:vMerge/>
            <w:vAlign w:val="center"/>
          </w:tcPr>
          <w:p w14:paraId="5C4419EF" w14:textId="77777777" w:rsidR="00365C2F" w:rsidRPr="00365C2F" w:rsidRDefault="00365C2F" w:rsidP="00365C2F">
            <w:pPr>
              <w:pStyle w:val="vn4"/>
              <w:shd w:val="clear" w:color="auto" w:fill="FFFFFF"/>
              <w:spacing w:before="120" w:beforeAutospacing="0" w:after="120" w:afterAutospacing="0"/>
              <w:jc w:val="both"/>
            </w:pPr>
          </w:p>
        </w:tc>
        <w:tc>
          <w:tcPr>
            <w:tcW w:w="1842" w:type="dxa"/>
            <w:vMerge/>
            <w:vAlign w:val="center"/>
          </w:tcPr>
          <w:p w14:paraId="3BA3C283" w14:textId="77777777" w:rsidR="00365C2F" w:rsidRPr="00365C2F" w:rsidRDefault="00365C2F" w:rsidP="00365C2F">
            <w:pPr>
              <w:spacing w:before="120" w:after="120"/>
              <w:jc w:val="both"/>
              <w:rPr>
                <w:lang w:val="sv-SE"/>
              </w:rPr>
            </w:pPr>
          </w:p>
        </w:tc>
        <w:tc>
          <w:tcPr>
            <w:tcW w:w="1134" w:type="dxa"/>
            <w:vMerge/>
            <w:vAlign w:val="center"/>
          </w:tcPr>
          <w:p w14:paraId="1469E985" w14:textId="77777777" w:rsidR="00365C2F" w:rsidRPr="00365C2F" w:rsidRDefault="00365C2F" w:rsidP="00365C2F">
            <w:pPr>
              <w:spacing w:before="120" w:after="120"/>
              <w:jc w:val="both"/>
              <w:rPr>
                <w:lang w:val="sv-SE"/>
              </w:rPr>
            </w:pPr>
          </w:p>
        </w:tc>
        <w:tc>
          <w:tcPr>
            <w:tcW w:w="1984" w:type="dxa"/>
            <w:vMerge/>
            <w:vAlign w:val="center"/>
          </w:tcPr>
          <w:p w14:paraId="12D525C9" w14:textId="513BCDBC" w:rsidR="00365C2F" w:rsidRPr="00365C2F" w:rsidRDefault="00365C2F" w:rsidP="00365C2F">
            <w:pPr>
              <w:spacing w:before="120" w:after="120"/>
              <w:jc w:val="both"/>
              <w:rPr>
                <w:lang w:val="sv-SE"/>
              </w:rPr>
            </w:pPr>
          </w:p>
        </w:tc>
      </w:tr>
      <w:tr w:rsidR="00365C2F" w:rsidRPr="00365C2F" w14:paraId="1512C8D4" w14:textId="161754CE" w:rsidTr="00F229B0">
        <w:trPr>
          <w:trHeight w:val="2460"/>
        </w:trPr>
        <w:tc>
          <w:tcPr>
            <w:tcW w:w="709" w:type="dxa"/>
            <w:vAlign w:val="center"/>
          </w:tcPr>
          <w:p w14:paraId="6ED8EE34" w14:textId="1F286F9F" w:rsidR="00365C2F" w:rsidRPr="00365C2F" w:rsidRDefault="00365C2F" w:rsidP="009C3324">
            <w:pPr>
              <w:jc w:val="center"/>
              <w:rPr>
                <w:shd w:val="clear" w:color="auto" w:fill="FFFFFF"/>
              </w:rPr>
            </w:pPr>
            <w:r w:rsidRPr="00365C2F">
              <w:rPr>
                <w:spacing w:val="2"/>
                <w:shd w:val="clear" w:color="auto" w:fill="FFFFFF"/>
              </w:rPr>
              <w:lastRenderedPageBreak/>
              <w:t>4</w:t>
            </w:r>
          </w:p>
        </w:tc>
        <w:tc>
          <w:tcPr>
            <w:tcW w:w="1560" w:type="dxa"/>
            <w:vAlign w:val="center"/>
          </w:tcPr>
          <w:p w14:paraId="1337334F" w14:textId="47CE6A43" w:rsidR="00365C2F" w:rsidRPr="00365C2F" w:rsidRDefault="00365C2F" w:rsidP="00365C2F">
            <w:pPr>
              <w:jc w:val="center"/>
              <w:rPr>
                <w:shd w:val="clear" w:color="auto" w:fill="FFFFFF"/>
              </w:rPr>
            </w:pPr>
            <w:bookmarkStart w:id="1" w:name="_Hlk183075971"/>
            <w:r w:rsidRPr="00365C2F">
              <w:rPr>
                <w:spacing w:val="2"/>
                <w:shd w:val="clear" w:color="auto" w:fill="FFFFFF"/>
              </w:rPr>
              <w:t>1.005018</w:t>
            </w:r>
            <w:bookmarkEnd w:id="1"/>
          </w:p>
        </w:tc>
        <w:tc>
          <w:tcPr>
            <w:tcW w:w="1559" w:type="dxa"/>
            <w:vAlign w:val="center"/>
          </w:tcPr>
          <w:p w14:paraId="47B81F43" w14:textId="3295AFA3" w:rsidR="00365C2F" w:rsidRPr="00365C2F" w:rsidRDefault="00365C2F" w:rsidP="00365C2F">
            <w:pPr>
              <w:jc w:val="both"/>
              <w:rPr>
                <w:shd w:val="clear" w:color="auto" w:fill="FFFFFF"/>
              </w:rPr>
            </w:pPr>
            <w:r w:rsidRPr="00365C2F">
              <w:t>Cấp Giấy chứng nhận chất lượng an toàn kỹ thuật và bảo vệ môi trường xe cơ giới cải tạo</w:t>
            </w:r>
          </w:p>
        </w:tc>
        <w:tc>
          <w:tcPr>
            <w:tcW w:w="1275" w:type="dxa"/>
            <w:vMerge w:val="restart"/>
            <w:vAlign w:val="center"/>
          </w:tcPr>
          <w:p w14:paraId="7D9424B4" w14:textId="77777777" w:rsidR="00365C2F" w:rsidRPr="00365C2F" w:rsidRDefault="00365C2F" w:rsidP="00365C2F">
            <w:pPr>
              <w:jc w:val="both"/>
            </w:pPr>
            <w:r w:rsidRPr="00365C2F">
              <w:rPr>
                <w:shd w:val="clear" w:color="auto" w:fill="FFFFFF"/>
              </w:rPr>
              <w:t>1.013206</w:t>
            </w:r>
          </w:p>
        </w:tc>
        <w:tc>
          <w:tcPr>
            <w:tcW w:w="1702" w:type="dxa"/>
            <w:vMerge w:val="restart"/>
            <w:vAlign w:val="center"/>
          </w:tcPr>
          <w:p w14:paraId="375105A7" w14:textId="77777777" w:rsidR="00365C2F" w:rsidRPr="00365C2F" w:rsidRDefault="00365C2F" w:rsidP="00365C2F">
            <w:pPr>
              <w:jc w:val="both"/>
            </w:pPr>
            <w:r w:rsidRPr="00365C2F">
              <w:rPr>
                <w:shd w:val="clear" w:color="auto" w:fill="FFFFFF"/>
              </w:rPr>
              <w:t>Chứng nhận an toàn kỹ thuật và bảo vệ môi trường đối với xe cơ giới cải tạo, xe máy chuyên dùng cải tạo</w:t>
            </w:r>
          </w:p>
        </w:tc>
        <w:tc>
          <w:tcPr>
            <w:tcW w:w="1842" w:type="dxa"/>
            <w:vMerge w:val="restart"/>
            <w:vAlign w:val="center"/>
          </w:tcPr>
          <w:p w14:paraId="100137FA" w14:textId="6F223A83" w:rsidR="00365C2F" w:rsidRPr="00365C2F" w:rsidRDefault="00365C2F" w:rsidP="00365C2F">
            <w:pPr>
              <w:jc w:val="both"/>
              <w:rPr>
                <w:lang w:val="sv-SE"/>
              </w:rPr>
            </w:pPr>
            <w:r w:rsidRPr="00365C2F">
              <w:rPr>
                <w:lang w:val="sv-SE"/>
              </w:rPr>
              <w:t xml:space="preserve">-Kiểm tra, đánh giá hồ sơ thiết kế cải tạo (trường hợp phải lập hồ sơ thiết kế): 05 ngày làm việc; -Cấp Giấy chứng nhận: </w:t>
            </w:r>
          </w:p>
          <w:p w14:paraId="7AFA4E02" w14:textId="13F908D4" w:rsidR="00365C2F" w:rsidRPr="00365C2F" w:rsidRDefault="00365C2F" w:rsidP="00365C2F">
            <w:pPr>
              <w:jc w:val="both"/>
              <w:rPr>
                <w:lang w:val="sv-SE"/>
              </w:rPr>
            </w:pPr>
            <w:r w:rsidRPr="00365C2F">
              <w:rPr>
                <w:lang w:val="sv-SE"/>
              </w:rPr>
              <w:lastRenderedPageBreak/>
              <w:t>+Trường hợp lập hồ sơ thiết kế: 05 ngày kể từ ngày thông báo kiểm tra, đánh giá xe thực tế và kết quả kiểm tra, đánh giá thực tế xe đạt yêu cầu. +Trường hợp không phải lập hồ sơ thiết kế: ngay trong ngày nhận đủ hồ sơ và kết quả kiểm tra, đánh giá thực tế xe đạt yêu cầu.</w:t>
            </w:r>
          </w:p>
        </w:tc>
        <w:tc>
          <w:tcPr>
            <w:tcW w:w="1702" w:type="dxa"/>
            <w:vMerge w:val="restart"/>
            <w:vAlign w:val="center"/>
          </w:tcPr>
          <w:p w14:paraId="67685012" w14:textId="77777777" w:rsidR="00365C2F" w:rsidRPr="00365C2F" w:rsidRDefault="00365C2F" w:rsidP="00365C2F">
            <w:pPr>
              <w:spacing w:before="120" w:after="120"/>
              <w:jc w:val="both"/>
              <w:rPr>
                <w:bCs/>
                <w:color w:val="000000" w:themeColor="text1"/>
              </w:rPr>
            </w:pPr>
            <w:r w:rsidRPr="00365C2F">
              <w:rPr>
                <w:bCs/>
                <w:color w:val="000000" w:themeColor="text1"/>
              </w:rPr>
              <w:lastRenderedPageBreak/>
              <w:t xml:space="preserve">-Cơ quan tiếp nhận và thực hiện giải quyết TTHC: Đơn vị đăng kiểm </w:t>
            </w:r>
          </w:p>
          <w:p w14:paraId="0DEB61D8" w14:textId="27D4BCD3" w:rsidR="00365C2F" w:rsidRPr="00365C2F" w:rsidRDefault="00365C2F" w:rsidP="00365C2F">
            <w:pPr>
              <w:spacing w:before="120" w:after="120"/>
              <w:jc w:val="both"/>
            </w:pPr>
            <w:r w:rsidRPr="00365C2F">
              <w:rPr>
                <w:bCs/>
                <w:color w:val="000000" w:themeColor="text1"/>
              </w:rPr>
              <w:t xml:space="preserve">-Địa điểm tiếp nhận hồ sơ: </w:t>
            </w:r>
            <w:r w:rsidRPr="00365C2F">
              <w:rPr>
                <w:bCs/>
                <w:color w:val="000000" w:themeColor="text1"/>
              </w:rPr>
              <w:lastRenderedPageBreak/>
              <w:t xml:space="preserve">Đơn vị đăng kiểm </w:t>
            </w:r>
          </w:p>
        </w:tc>
        <w:tc>
          <w:tcPr>
            <w:tcW w:w="1842" w:type="dxa"/>
            <w:vMerge w:val="restart"/>
            <w:vAlign w:val="center"/>
          </w:tcPr>
          <w:p w14:paraId="27089E27" w14:textId="77777777" w:rsidR="00365C2F" w:rsidRPr="00365C2F" w:rsidRDefault="00365C2F" w:rsidP="00365C2F">
            <w:pPr>
              <w:jc w:val="both"/>
              <w:rPr>
                <w:lang w:val="sv-SE"/>
              </w:rPr>
            </w:pPr>
            <w:r w:rsidRPr="00365C2F">
              <w:rPr>
                <w:lang w:val="sv-SE"/>
              </w:rPr>
              <w:lastRenderedPageBreak/>
              <w:t xml:space="preserve">- Lệ phí giấy chứng nhận: 40.000 đồng/01 Giấy chứng nhận kiểm định, riêng đối với ô tô dưới 10 chỗ ngồi (không bao gồm </w:t>
            </w:r>
            <w:r w:rsidRPr="00365C2F">
              <w:rPr>
                <w:lang w:val="sv-SE"/>
              </w:rPr>
              <w:lastRenderedPageBreak/>
              <w:t>xe cứu thương): 90.000 đồng/01 Giấy chứng nhận.</w:t>
            </w:r>
          </w:p>
          <w:p w14:paraId="45BB593F" w14:textId="10A7FED6" w:rsidR="00365C2F" w:rsidRPr="00365C2F" w:rsidRDefault="00365C2F" w:rsidP="00365C2F">
            <w:pPr>
              <w:jc w:val="both"/>
            </w:pPr>
            <w:r w:rsidRPr="00365C2F">
              <w:rPr>
                <w:lang w:val="sv-SE"/>
              </w:rPr>
              <w:t>- Giá dịch vụ kiểm định an toàn kỹ thuật và bảo về môi trường:  Thông tư số 238/2016/TT-BTC ngày 11/11/2016 và Thông tư số 55/2022/TT-BTC ngày 24/8/2022 của Bộ trưởng Bộ Tài chính.</w:t>
            </w:r>
          </w:p>
        </w:tc>
        <w:tc>
          <w:tcPr>
            <w:tcW w:w="1134" w:type="dxa"/>
            <w:vMerge w:val="restart"/>
            <w:vAlign w:val="center"/>
          </w:tcPr>
          <w:p w14:paraId="2C13F7B6" w14:textId="28D4C328" w:rsidR="00365C2F" w:rsidRPr="00365C2F" w:rsidRDefault="00365C2F" w:rsidP="00365C2F">
            <w:pPr>
              <w:spacing w:before="120" w:after="120"/>
              <w:jc w:val="center"/>
              <w:rPr>
                <w:color w:val="FF0000"/>
              </w:rPr>
            </w:pPr>
            <w:r w:rsidRPr="00365C2F">
              <w:rPr>
                <w:color w:val="000000" w:themeColor="text1"/>
              </w:rPr>
              <w:lastRenderedPageBreak/>
              <w:t>Một phần</w:t>
            </w:r>
          </w:p>
        </w:tc>
        <w:tc>
          <w:tcPr>
            <w:tcW w:w="1984" w:type="dxa"/>
            <w:vMerge w:val="restart"/>
            <w:vAlign w:val="center"/>
          </w:tcPr>
          <w:p w14:paraId="2B25A5EE" w14:textId="77777777" w:rsidR="00365C2F" w:rsidRPr="00365C2F" w:rsidRDefault="00365C2F" w:rsidP="00365C2F">
            <w:pPr>
              <w:jc w:val="center"/>
              <w:rPr>
                <w:lang w:val="sv-SE"/>
              </w:rPr>
            </w:pPr>
            <w:r w:rsidRPr="00365C2F">
              <w:rPr>
                <w:lang w:val="sv-SE"/>
              </w:rPr>
              <w:t>- Thông tư số 47/2024/TT-BGTVT ngày 15 tháng 11 năm 2024 của Bộ Giao thông vận.</w:t>
            </w:r>
          </w:p>
          <w:p w14:paraId="5E5B7812" w14:textId="77777777" w:rsidR="00365C2F" w:rsidRPr="00365C2F" w:rsidRDefault="00365C2F" w:rsidP="00365C2F">
            <w:pPr>
              <w:jc w:val="center"/>
            </w:pPr>
            <w:r w:rsidRPr="00365C2F">
              <w:t>- Thông tư số 199/2016/TT-</w:t>
            </w:r>
            <w:r w:rsidRPr="00365C2F">
              <w:lastRenderedPageBreak/>
              <w:t>BTC ngày 08 tháng 11 năm 2016; Thông tư số 36/2022/TT-BTC ngày 08 tháng 11 năm 2016 của Bộ Tài chính</w:t>
            </w:r>
          </w:p>
          <w:p w14:paraId="181D32F0" w14:textId="761A37DB" w:rsidR="00365C2F" w:rsidRPr="00365C2F" w:rsidRDefault="00365C2F" w:rsidP="00365C2F">
            <w:pPr>
              <w:jc w:val="center"/>
              <w:rPr>
                <w:color w:val="000000" w:themeColor="text1"/>
                <w:lang w:val="sv-SE"/>
              </w:rPr>
            </w:pPr>
            <w:r w:rsidRPr="00365C2F">
              <w:t>- Thông tư số 238/2016/TT-BTC ngày 11 tháng 12 năm 2016; Thông tư số 55/2022/TT-BTC ngày 24 tháng 8 năm 2022 của Bộ Tài chính</w:t>
            </w:r>
          </w:p>
        </w:tc>
      </w:tr>
      <w:tr w:rsidR="00365C2F" w:rsidRPr="00365C2F" w14:paraId="3EDC0E52" w14:textId="3337DB55" w:rsidTr="00F229B0">
        <w:trPr>
          <w:trHeight w:val="2400"/>
        </w:trPr>
        <w:tc>
          <w:tcPr>
            <w:tcW w:w="709" w:type="dxa"/>
            <w:vAlign w:val="center"/>
          </w:tcPr>
          <w:p w14:paraId="2F35CFA3" w14:textId="0522A752" w:rsidR="00365C2F" w:rsidRPr="00365C2F" w:rsidRDefault="00365C2F" w:rsidP="009C3324">
            <w:pPr>
              <w:jc w:val="center"/>
              <w:rPr>
                <w:shd w:val="clear" w:color="auto" w:fill="FFFFFF"/>
              </w:rPr>
            </w:pPr>
            <w:r w:rsidRPr="00365C2F">
              <w:rPr>
                <w:spacing w:val="2"/>
                <w:shd w:val="clear" w:color="auto" w:fill="FFFFFF"/>
              </w:rPr>
              <w:lastRenderedPageBreak/>
              <w:t>5</w:t>
            </w:r>
          </w:p>
        </w:tc>
        <w:tc>
          <w:tcPr>
            <w:tcW w:w="1560" w:type="dxa"/>
            <w:vAlign w:val="center"/>
          </w:tcPr>
          <w:p w14:paraId="3E6B7004" w14:textId="4708E8DC" w:rsidR="00365C2F" w:rsidRPr="00365C2F" w:rsidRDefault="00365C2F" w:rsidP="00365C2F">
            <w:pPr>
              <w:jc w:val="center"/>
              <w:rPr>
                <w:shd w:val="clear" w:color="auto" w:fill="FFFFFF"/>
              </w:rPr>
            </w:pPr>
            <w:r w:rsidRPr="00365C2F">
              <w:rPr>
                <w:spacing w:val="2"/>
                <w:shd w:val="clear" w:color="auto" w:fill="FFFFFF"/>
              </w:rPr>
              <w:t>1.012323</w:t>
            </w:r>
          </w:p>
        </w:tc>
        <w:tc>
          <w:tcPr>
            <w:tcW w:w="1559" w:type="dxa"/>
            <w:vAlign w:val="center"/>
          </w:tcPr>
          <w:p w14:paraId="3AB50E17" w14:textId="36EA98BB" w:rsidR="00365C2F" w:rsidRPr="00365C2F" w:rsidRDefault="00365C2F" w:rsidP="00365C2F">
            <w:pPr>
              <w:jc w:val="both"/>
              <w:rPr>
                <w:shd w:val="clear" w:color="auto" w:fill="FFFFFF"/>
              </w:rPr>
            </w:pPr>
            <w:r w:rsidRPr="00365C2F">
              <w:t>Cấp Giấy chứng nhận chất lượng an toàn kỹ thuật và bảo vệ môi trường xe máy chuyên dùng cải tạo</w:t>
            </w:r>
          </w:p>
        </w:tc>
        <w:tc>
          <w:tcPr>
            <w:tcW w:w="1275" w:type="dxa"/>
            <w:vMerge/>
            <w:vAlign w:val="center"/>
          </w:tcPr>
          <w:p w14:paraId="4EEA4A84" w14:textId="77777777" w:rsidR="00365C2F" w:rsidRPr="00365C2F" w:rsidRDefault="00365C2F" w:rsidP="00365C2F">
            <w:pPr>
              <w:rPr>
                <w:shd w:val="clear" w:color="auto" w:fill="FFFFFF"/>
              </w:rPr>
            </w:pPr>
          </w:p>
        </w:tc>
        <w:tc>
          <w:tcPr>
            <w:tcW w:w="1702" w:type="dxa"/>
            <w:vMerge/>
            <w:vAlign w:val="center"/>
          </w:tcPr>
          <w:p w14:paraId="0D3992B5" w14:textId="77777777" w:rsidR="00365C2F" w:rsidRPr="00365C2F" w:rsidRDefault="00365C2F" w:rsidP="00365C2F">
            <w:pPr>
              <w:rPr>
                <w:shd w:val="clear" w:color="auto" w:fill="FFFFFF"/>
              </w:rPr>
            </w:pPr>
          </w:p>
        </w:tc>
        <w:tc>
          <w:tcPr>
            <w:tcW w:w="1842" w:type="dxa"/>
            <w:vMerge/>
            <w:vAlign w:val="center"/>
          </w:tcPr>
          <w:p w14:paraId="74BDDAAE" w14:textId="77777777" w:rsidR="00365C2F" w:rsidRPr="00365C2F" w:rsidRDefault="00365C2F" w:rsidP="00365C2F">
            <w:pPr>
              <w:spacing w:before="120" w:after="120"/>
              <w:jc w:val="both"/>
            </w:pPr>
          </w:p>
        </w:tc>
        <w:tc>
          <w:tcPr>
            <w:tcW w:w="1702" w:type="dxa"/>
            <w:vMerge/>
            <w:vAlign w:val="center"/>
          </w:tcPr>
          <w:p w14:paraId="327B3681" w14:textId="77777777" w:rsidR="00365C2F" w:rsidRPr="00365C2F" w:rsidRDefault="00365C2F" w:rsidP="00365C2F">
            <w:pPr>
              <w:pStyle w:val="vn4"/>
              <w:shd w:val="clear" w:color="auto" w:fill="FFFFFF"/>
              <w:spacing w:before="120" w:beforeAutospacing="0" w:after="120" w:afterAutospacing="0"/>
              <w:jc w:val="both"/>
            </w:pPr>
          </w:p>
        </w:tc>
        <w:tc>
          <w:tcPr>
            <w:tcW w:w="1842" w:type="dxa"/>
            <w:vMerge/>
            <w:vAlign w:val="center"/>
          </w:tcPr>
          <w:p w14:paraId="3BE6BEEB" w14:textId="77777777" w:rsidR="00365C2F" w:rsidRPr="00365C2F" w:rsidRDefault="00365C2F" w:rsidP="00365C2F">
            <w:pPr>
              <w:spacing w:before="120" w:after="120"/>
              <w:jc w:val="both"/>
              <w:rPr>
                <w:lang w:val="sv-SE"/>
              </w:rPr>
            </w:pPr>
          </w:p>
        </w:tc>
        <w:tc>
          <w:tcPr>
            <w:tcW w:w="1134" w:type="dxa"/>
            <w:vMerge/>
            <w:vAlign w:val="center"/>
          </w:tcPr>
          <w:p w14:paraId="1E36FEDC" w14:textId="77777777" w:rsidR="00365C2F" w:rsidRPr="00365C2F" w:rsidRDefault="00365C2F" w:rsidP="00365C2F">
            <w:pPr>
              <w:spacing w:before="120" w:after="120"/>
              <w:jc w:val="both"/>
              <w:rPr>
                <w:lang w:val="sv-SE"/>
              </w:rPr>
            </w:pPr>
          </w:p>
        </w:tc>
        <w:tc>
          <w:tcPr>
            <w:tcW w:w="1984" w:type="dxa"/>
            <w:vMerge/>
          </w:tcPr>
          <w:p w14:paraId="00E623EC" w14:textId="77777777" w:rsidR="00365C2F" w:rsidRPr="00365C2F" w:rsidRDefault="00365C2F" w:rsidP="00365C2F">
            <w:pPr>
              <w:spacing w:before="120" w:after="120"/>
              <w:jc w:val="both"/>
              <w:rPr>
                <w:lang w:val="sv-SE"/>
              </w:rPr>
            </w:pPr>
          </w:p>
        </w:tc>
      </w:tr>
    </w:tbl>
    <w:p w14:paraId="0B7A29FE" w14:textId="68A9B97E" w:rsidR="00897631" w:rsidRPr="00365C2F" w:rsidRDefault="00897631" w:rsidP="00BD757E">
      <w:pPr>
        <w:spacing w:before="20"/>
        <w:ind w:left="720" w:firstLine="720"/>
        <w:jc w:val="center"/>
        <w:rPr>
          <w:b/>
          <w:bCs/>
          <w:color w:val="000000"/>
        </w:rPr>
      </w:pPr>
    </w:p>
    <w:p w14:paraId="776EAFDF" w14:textId="71F8DA7B" w:rsidR="009749FC" w:rsidRPr="00365C2F" w:rsidRDefault="009749FC">
      <w:pPr>
        <w:spacing w:after="200" w:line="276" w:lineRule="auto"/>
        <w:rPr>
          <w:b/>
          <w:bCs/>
          <w:color w:val="000000"/>
        </w:rPr>
      </w:pPr>
    </w:p>
    <w:p w14:paraId="338E711E" w14:textId="77777777" w:rsidR="00B973D9" w:rsidRPr="00365C2F" w:rsidRDefault="00B973D9" w:rsidP="00EF7826">
      <w:pPr>
        <w:spacing w:before="20"/>
        <w:ind w:left="720" w:firstLine="720"/>
        <w:rPr>
          <w:b/>
          <w:bCs/>
          <w:color w:val="000000"/>
        </w:rPr>
      </w:pPr>
    </w:p>
    <w:p w14:paraId="74CFEC17" w14:textId="77777777" w:rsidR="00B973D9" w:rsidRPr="00365C2F" w:rsidRDefault="00B973D9" w:rsidP="00EF7826">
      <w:pPr>
        <w:spacing w:before="20"/>
        <w:ind w:left="720" w:firstLine="720"/>
        <w:rPr>
          <w:b/>
          <w:bCs/>
          <w:color w:val="000000"/>
        </w:rPr>
      </w:pPr>
    </w:p>
    <w:p w14:paraId="2CEE7C6C" w14:textId="77777777" w:rsidR="00B973D9" w:rsidRPr="00365C2F" w:rsidRDefault="00B973D9" w:rsidP="00EF7826">
      <w:pPr>
        <w:spacing w:before="20"/>
        <w:ind w:left="720" w:firstLine="720"/>
        <w:rPr>
          <w:b/>
          <w:bCs/>
          <w:color w:val="000000"/>
        </w:rPr>
      </w:pPr>
    </w:p>
    <w:p w14:paraId="1F55FBBE" w14:textId="77777777" w:rsidR="00B973D9" w:rsidRPr="00365C2F" w:rsidRDefault="00B973D9" w:rsidP="00EF7826">
      <w:pPr>
        <w:spacing w:before="20"/>
        <w:ind w:left="720" w:firstLine="720"/>
        <w:rPr>
          <w:b/>
          <w:bCs/>
          <w:color w:val="000000"/>
        </w:rPr>
      </w:pPr>
    </w:p>
    <w:p w14:paraId="71D2539F" w14:textId="77777777" w:rsidR="00B973D9" w:rsidRPr="00365C2F" w:rsidRDefault="00B973D9" w:rsidP="00EF7826">
      <w:pPr>
        <w:spacing w:before="20"/>
        <w:ind w:left="720" w:firstLine="720"/>
        <w:rPr>
          <w:b/>
          <w:bCs/>
          <w:color w:val="000000"/>
        </w:rPr>
      </w:pPr>
    </w:p>
    <w:p w14:paraId="0449EA86" w14:textId="1191EF1B" w:rsidR="00365C2F" w:rsidRPr="00365C2F" w:rsidRDefault="00365C2F" w:rsidP="00365C2F">
      <w:pPr>
        <w:spacing w:before="20"/>
        <w:rPr>
          <w:b/>
          <w:bCs/>
          <w:color w:val="000000"/>
        </w:rPr>
      </w:pPr>
    </w:p>
    <w:p w14:paraId="6A20295C" w14:textId="77777777" w:rsidR="00B973D9" w:rsidRPr="00365C2F" w:rsidRDefault="00B973D9" w:rsidP="00EF7826">
      <w:pPr>
        <w:spacing w:before="20"/>
        <w:ind w:left="720" w:firstLine="720"/>
        <w:rPr>
          <w:b/>
          <w:bCs/>
          <w:color w:val="000000"/>
        </w:rPr>
      </w:pPr>
    </w:p>
    <w:p w14:paraId="3F86B50D" w14:textId="729F7388" w:rsidR="00BD757E" w:rsidRPr="00365C2F" w:rsidRDefault="00A6419B" w:rsidP="00EF7826">
      <w:pPr>
        <w:spacing w:before="20"/>
        <w:ind w:left="720" w:firstLine="720"/>
        <w:rPr>
          <w:b/>
          <w:bCs/>
          <w:color w:val="000000" w:themeColor="text1"/>
          <w:sz w:val="28"/>
          <w:szCs w:val="28"/>
          <w:lang w:val="pt-BR"/>
        </w:rPr>
      </w:pPr>
      <w:r w:rsidRPr="00365C2F">
        <w:rPr>
          <w:b/>
          <w:bCs/>
          <w:color w:val="000000" w:themeColor="text1"/>
          <w:sz w:val="28"/>
          <w:szCs w:val="28"/>
        </w:rPr>
        <w:t>4</w:t>
      </w:r>
      <w:r w:rsidR="00BD757E" w:rsidRPr="00365C2F">
        <w:rPr>
          <w:b/>
          <w:bCs/>
          <w:color w:val="000000" w:themeColor="text1"/>
          <w:sz w:val="28"/>
          <w:szCs w:val="28"/>
          <w:lang w:val="pt-BR"/>
        </w:rPr>
        <w:t>. D</w:t>
      </w:r>
      <w:r w:rsidR="00EF7826" w:rsidRPr="00365C2F">
        <w:rPr>
          <w:b/>
          <w:bCs/>
          <w:color w:val="000000" w:themeColor="text1"/>
          <w:sz w:val="28"/>
          <w:szCs w:val="28"/>
          <w:lang w:val="pt-BR"/>
        </w:rPr>
        <w:t>anh</w:t>
      </w:r>
      <w:r w:rsidR="00BD757E" w:rsidRPr="00365C2F">
        <w:rPr>
          <w:b/>
          <w:bCs/>
          <w:color w:val="000000" w:themeColor="text1"/>
          <w:sz w:val="28"/>
          <w:szCs w:val="28"/>
          <w:lang w:val="pt-BR"/>
        </w:rPr>
        <w:t xml:space="preserve"> </w:t>
      </w:r>
      <w:r w:rsidR="00EF7826" w:rsidRPr="00365C2F">
        <w:rPr>
          <w:b/>
          <w:bCs/>
          <w:color w:val="000000" w:themeColor="text1"/>
          <w:sz w:val="28"/>
          <w:szCs w:val="28"/>
          <w:lang w:val="pt-BR"/>
        </w:rPr>
        <w:t>mục thủ tục hành chính</w:t>
      </w:r>
      <w:r w:rsidR="006F3BE5" w:rsidRPr="00365C2F">
        <w:rPr>
          <w:b/>
          <w:bCs/>
          <w:color w:val="000000" w:themeColor="text1"/>
          <w:sz w:val="28"/>
          <w:szCs w:val="28"/>
          <w:lang w:val="pt-BR"/>
        </w:rPr>
        <w:t xml:space="preserve"> được</w:t>
      </w:r>
      <w:r w:rsidR="00EF7826" w:rsidRPr="00365C2F">
        <w:rPr>
          <w:b/>
          <w:bCs/>
          <w:color w:val="000000" w:themeColor="text1"/>
          <w:sz w:val="28"/>
          <w:szCs w:val="28"/>
          <w:lang w:val="pt-BR"/>
        </w:rPr>
        <w:t xml:space="preserve"> bãi bỏ: </w:t>
      </w:r>
      <w:r w:rsidR="00EC270A" w:rsidRPr="00365C2F">
        <w:rPr>
          <w:b/>
          <w:bCs/>
          <w:color w:val="000000" w:themeColor="text1"/>
          <w:sz w:val="28"/>
          <w:szCs w:val="28"/>
          <w:lang w:val="pt-BR"/>
        </w:rPr>
        <w:t>02 TTHC</w:t>
      </w:r>
    </w:p>
    <w:p w14:paraId="42F60F4E" w14:textId="0CC85A15" w:rsidR="002E21EE" w:rsidRPr="00365C2F" w:rsidRDefault="002E21EE" w:rsidP="00EF7826">
      <w:pPr>
        <w:jc w:val="both"/>
        <w:rPr>
          <w:b/>
          <w:bCs/>
          <w:color w:val="FF0000"/>
          <w:lang w:val="pt-BR"/>
        </w:rPr>
      </w:pPr>
    </w:p>
    <w:p w14:paraId="12C27232" w14:textId="77777777" w:rsidR="002E21EE" w:rsidRPr="00365C2F" w:rsidRDefault="002E21EE" w:rsidP="002E21EE">
      <w:pPr>
        <w:ind w:left="720" w:firstLine="720"/>
        <w:jc w:val="both"/>
        <w:rPr>
          <w:b/>
          <w:bCs/>
          <w:color w:val="000000"/>
          <w:lang w:val="pt-BR"/>
        </w:rPr>
      </w:pPr>
    </w:p>
    <w:tbl>
      <w:tblPr>
        <w:tblStyle w:val="TableGrid"/>
        <w:tblW w:w="14254" w:type="dxa"/>
        <w:tblInd w:w="704" w:type="dxa"/>
        <w:tblLayout w:type="fixed"/>
        <w:tblLook w:val="04A0" w:firstRow="1" w:lastRow="0" w:firstColumn="1" w:lastColumn="0" w:noHBand="0" w:noVBand="1"/>
      </w:tblPr>
      <w:tblGrid>
        <w:gridCol w:w="846"/>
        <w:gridCol w:w="1843"/>
        <w:gridCol w:w="5045"/>
        <w:gridCol w:w="3969"/>
        <w:gridCol w:w="2551"/>
      </w:tblGrid>
      <w:tr w:rsidR="00EC270A" w:rsidRPr="00365C2F" w14:paraId="6B3D7CA1" w14:textId="77777777" w:rsidTr="00F229B0">
        <w:trPr>
          <w:tblHeader/>
        </w:trPr>
        <w:tc>
          <w:tcPr>
            <w:tcW w:w="846" w:type="dxa"/>
            <w:vAlign w:val="center"/>
          </w:tcPr>
          <w:p w14:paraId="2AAE69CA" w14:textId="77777777" w:rsidR="00EC270A" w:rsidRPr="00365C2F" w:rsidRDefault="00EC270A" w:rsidP="005A4A06">
            <w:pPr>
              <w:spacing w:after="120"/>
              <w:jc w:val="center"/>
              <w:rPr>
                <w:b/>
                <w:bCs/>
                <w:color w:val="000000"/>
              </w:rPr>
            </w:pPr>
            <w:r w:rsidRPr="00365C2F">
              <w:rPr>
                <w:b/>
                <w:bCs/>
                <w:color w:val="000000"/>
              </w:rPr>
              <w:t>STT</w:t>
            </w:r>
          </w:p>
        </w:tc>
        <w:tc>
          <w:tcPr>
            <w:tcW w:w="1843" w:type="dxa"/>
            <w:vAlign w:val="center"/>
          </w:tcPr>
          <w:p w14:paraId="5EB75A6B" w14:textId="096E0197" w:rsidR="00EC270A" w:rsidRPr="00365C2F" w:rsidRDefault="00EC270A" w:rsidP="005A4A06">
            <w:pPr>
              <w:spacing w:after="120"/>
              <w:jc w:val="center"/>
              <w:rPr>
                <w:b/>
                <w:bCs/>
                <w:color w:val="000000"/>
              </w:rPr>
            </w:pPr>
            <w:r w:rsidRPr="00365C2F">
              <w:rPr>
                <w:b/>
                <w:bCs/>
                <w:color w:val="000000"/>
              </w:rPr>
              <w:t>Mã TTHC</w:t>
            </w:r>
          </w:p>
        </w:tc>
        <w:tc>
          <w:tcPr>
            <w:tcW w:w="5045" w:type="dxa"/>
            <w:vAlign w:val="center"/>
          </w:tcPr>
          <w:p w14:paraId="001D3384" w14:textId="7AA673DA" w:rsidR="00EC270A" w:rsidRPr="00365C2F" w:rsidRDefault="00EC270A" w:rsidP="005A4A06">
            <w:pPr>
              <w:spacing w:after="120"/>
              <w:jc w:val="center"/>
              <w:rPr>
                <w:b/>
                <w:bCs/>
                <w:color w:val="000000"/>
              </w:rPr>
            </w:pPr>
            <w:r w:rsidRPr="00365C2F">
              <w:rPr>
                <w:b/>
                <w:bCs/>
                <w:color w:val="000000"/>
              </w:rPr>
              <w:t>Tên thủ tục hành chính</w:t>
            </w:r>
          </w:p>
        </w:tc>
        <w:tc>
          <w:tcPr>
            <w:tcW w:w="3969" w:type="dxa"/>
          </w:tcPr>
          <w:p w14:paraId="55CAA248" w14:textId="44A99008" w:rsidR="00EC270A" w:rsidRPr="00365C2F" w:rsidRDefault="00EC270A" w:rsidP="005A4A06">
            <w:pPr>
              <w:spacing w:after="120"/>
              <w:jc w:val="center"/>
              <w:rPr>
                <w:b/>
                <w:bCs/>
                <w:color w:val="000000"/>
              </w:rPr>
            </w:pPr>
            <w:r w:rsidRPr="00365C2F">
              <w:rPr>
                <w:b/>
                <w:bCs/>
                <w:color w:val="000000"/>
              </w:rPr>
              <w:t>Tên Văn bản quy phạm pháp luật quy định việc bãi bỏ, lý do bãi bỏ</w:t>
            </w:r>
          </w:p>
        </w:tc>
        <w:tc>
          <w:tcPr>
            <w:tcW w:w="2551" w:type="dxa"/>
            <w:vAlign w:val="center"/>
          </w:tcPr>
          <w:p w14:paraId="3B2A925B" w14:textId="4AC4DE4B" w:rsidR="00EC270A" w:rsidRPr="00365C2F" w:rsidRDefault="00EC270A" w:rsidP="005A4A06">
            <w:pPr>
              <w:spacing w:after="120"/>
              <w:jc w:val="center"/>
              <w:rPr>
                <w:b/>
                <w:bCs/>
                <w:color w:val="000000"/>
              </w:rPr>
            </w:pPr>
            <w:r w:rsidRPr="00365C2F">
              <w:rPr>
                <w:b/>
                <w:bCs/>
                <w:color w:val="000000"/>
              </w:rPr>
              <w:t>Cơ quan thực hiện</w:t>
            </w:r>
          </w:p>
        </w:tc>
      </w:tr>
      <w:tr w:rsidR="003039AE" w:rsidRPr="00365C2F" w14:paraId="2414158C" w14:textId="77777777" w:rsidTr="00F229B0">
        <w:trPr>
          <w:trHeight w:val="1159"/>
        </w:trPr>
        <w:tc>
          <w:tcPr>
            <w:tcW w:w="846" w:type="dxa"/>
            <w:vAlign w:val="center"/>
          </w:tcPr>
          <w:p w14:paraId="0E08BC95" w14:textId="0B676E9C" w:rsidR="003039AE" w:rsidRPr="00365C2F" w:rsidRDefault="003039AE" w:rsidP="003039AE">
            <w:pPr>
              <w:spacing w:after="120"/>
              <w:jc w:val="center"/>
              <w:rPr>
                <w:color w:val="000000"/>
              </w:rPr>
            </w:pPr>
            <w:r w:rsidRPr="00365C2F">
              <w:rPr>
                <w:color w:val="000000"/>
              </w:rPr>
              <w:t>1</w:t>
            </w:r>
          </w:p>
        </w:tc>
        <w:tc>
          <w:tcPr>
            <w:tcW w:w="1843" w:type="dxa"/>
            <w:vAlign w:val="center"/>
          </w:tcPr>
          <w:p w14:paraId="0037546F" w14:textId="3B928760" w:rsidR="003039AE" w:rsidRPr="00365C2F" w:rsidRDefault="003039AE" w:rsidP="003039AE">
            <w:pPr>
              <w:spacing w:after="120"/>
              <w:jc w:val="center"/>
              <w:rPr>
                <w:color w:val="FF0000"/>
              </w:rPr>
            </w:pPr>
            <w:r w:rsidRPr="00365C2F">
              <w:rPr>
                <w:color w:val="000000" w:themeColor="text1"/>
              </w:rPr>
              <w:t>1.001001</w:t>
            </w:r>
            <w:r w:rsidRPr="00571B8D">
              <w:rPr>
                <w:sz w:val="26"/>
                <w:szCs w:val="26"/>
              </w:rPr>
              <w:t>.</w:t>
            </w:r>
            <w:r w:rsidRPr="00571B8D">
              <w:rPr>
                <w:rStyle w:val="link"/>
                <w:bCs/>
                <w:shd w:val="clear" w:color="auto" w:fill="FFFFFF"/>
              </w:rPr>
              <w:t>000.00.00.H53</w:t>
            </w:r>
          </w:p>
        </w:tc>
        <w:tc>
          <w:tcPr>
            <w:tcW w:w="5045" w:type="dxa"/>
            <w:vAlign w:val="center"/>
          </w:tcPr>
          <w:p w14:paraId="65AED18E" w14:textId="0EFD1853" w:rsidR="003039AE" w:rsidRPr="00365C2F" w:rsidRDefault="003039AE" w:rsidP="003039AE">
            <w:pPr>
              <w:spacing w:after="120"/>
              <w:jc w:val="both"/>
            </w:pPr>
            <w:r w:rsidRPr="00365C2F">
              <w:t>Thẩm định thiết kế cải tạo xe cơ giới</w:t>
            </w:r>
          </w:p>
        </w:tc>
        <w:tc>
          <w:tcPr>
            <w:tcW w:w="3969" w:type="dxa"/>
            <w:vMerge w:val="restart"/>
            <w:vAlign w:val="center"/>
          </w:tcPr>
          <w:p w14:paraId="7EAA2D5E" w14:textId="6436B313" w:rsidR="003039AE" w:rsidRPr="00365C2F" w:rsidRDefault="003039AE" w:rsidP="003039AE">
            <w:pPr>
              <w:spacing w:after="120"/>
              <w:jc w:val="both"/>
            </w:pPr>
            <w:r w:rsidRPr="00365C2F">
              <w:t>Thông tư số 47/2024/TT-BGTVT ngày 15 tháng 11 năm 2024 của Bộ trưởng Bộ Giao thông vận tải quy định trình tự, thủ tục kiểm định, miễn kiểm định lần đầu cho xe cơ giới, xe máy chuyên dùng; trình tự, thủ tục chứng nhận an toàn kỹ thuật và bảo vệ môi trường đối với xe cơ giới cải tạo, xe máy chuyên dùng cải tạo; trình tự, thủ tục kiểm định khí thải xe mô tô, xe gắn máy</w:t>
            </w:r>
          </w:p>
        </w:tc>
        <w:tc>
          <w:tcPr>
            <w:tcW w:w="2551" w:type="dxa"/>
            <w:vAlign w:val="center"/>
          </w:tcPr>
          <w:p w14:paraId="619B763E" w14:textId="3AB9B978" w:rsidR="003039AE" w:rsidRPr="00365C2F" w:rsidRDefault="003039AE" w:rsidP="003039AE">
            <w:pPr>
              <w:pStyle w:val="ListParagraph"/>
              <w:ind w:left="-40"/>
              <w:jc w:val="center"/>
            </w:pPr>
            <w:r w:rsidRPr="00365C2F">
              <w:t>Sở Giao thông vận tải</w:t>
            </w:r>
          </w:p>
        </w:tc>
      </w:tr>
      <w:tr w:rsidR="003039AE" w:rsidRPr="00365C2F" w14:paraId="1289CB9E" w14:textId="77777777" w:rsidTr="00F229B0">
        <w:trPr>
          <w:trHeight w:val="2069"/>
        </w:trPr>
        <w:tc>
          <w:tcPr>
            <w:tcW w:w="846" w:type="dxa"/>
            <w:vAlign w:val="center"/>
          </w:tcPr>
          <w:p w14:paraId="5779860F" w14:textId="77777777" w:rsidR="003039AE" w:rsidRPr="00365C2F" w:rsidRDefault="003039AE" w:rsidP="003039AE">
            <w:pPr>
              <w:spacing w:after="120"/>
              <w:jc w:val="center"/>
              <w:rPr>
                <w:color w:val="000000"/>
              </w:rPr>
            </w:pPr>
            <w:r w:rsidRPr="00365C2F">
              <w:rPr>
                <w:color w:val="000000"/>
              </w:rPr>
              <w:t>2</w:t>
            </w:r>
          </w:p>
        </w:tc>
        <w:tc>
          <w:tcPr>
            <w:tcW w:w="1843" w:type="dxa"/>
            <w:vAlign w:val="center"/>
          </w:tcPr>
          <w:p w14:paraId="0D1ED819" w14:textId="2830F13F" w:rsidR="003039AE" w:rsidRPr="00365C2F" w:rsidRDefault="003039AE" w:rsidP="003039AE">
            <w:pPr>
              <w:spacing w:after="120"/>
              <w:jc w:val="center"/>
              <w:rPr>
                <w:color w:val="FF0000"/>
                <w:shd w:val="clear" w:color="auto" w:fill="FFFFFF"/>
              </w:rPr>
            </w:pPr>
            <w:r w:rsidRPr="00365C2F">
              <w:rPr>
                <w:rStyle w:val="fontstyle01"/>
                <w:sz w:val="24"/>
                <w:szCs w:val="24"/>
              </w:rPr>
              <w:t>1.001261</w:t>
            </w:r>
            <w:r w:rsidRPr="00571B8D">
              <w:rPr>
                <w:sz w:val="26"/>
                <w:szCs w:val="26"/>
              </w:rPr>
              <w:t>.</w:t>
            </w:r>
            <w:r w:rsidRPr="00571B8D">
              <w:rPr>
                <w:rStyle w:val="link"/>
                <w:bCs/>
                <w:shd w:val="clear" w:color="auto" w:fill="FFFFFF"/>
              </w:rPr>
              <w:t>000.00.00.H53</w:t>
            </w:r>
          </w:p>
        </w:tc>
        <w:tc>
          <w:tcPr>
            <w:tcW w:w="5045" w:type="dxa"/>
            <w:vAlign w:val="center"/>
          </w:tcPr>
          <w:p w14:paraId="4923C993" w14:textId="35231196" w:rsidR="003039AE" w:rsidRPr="00365C2F" w:rsidRDefault="003039AE" w:rsidP="003039AE">
            <w:pPr>
              <w:jc w:val="both"/>
              <w:rPr>
                <w:rStyle w:val="fontstyle01"/>
                <w:sz w:val="24"/>
                <w:szCs w:val="24"/>
              </w:rPr>
            </w:pPr>
            <w:r w:rsidRPr="00365C2F">
              <w:rPr>
                <w:rStyle w:val="fontstyle01"/>
                <w:sz w:val="24"/>
                <w:szCs w:val="24"/>
              </w:rPr>
              <w:t xml:space="preserve">Cấp </w:t>
            </w:r>
            <w:bookmarkStart w:id="2" w:name="_GoBack"/>
            <w:bookmarkEnd w:id="2"/>
            <w:r w:rsidRPr="00365C2F">
              <w:rPr>
                <w:rStyle w:val="fontstyle01"/>
                <w:sz w:val="24"/>
                <w:szCs w:val="24"/>
              </w:rPr>
              <w:t>Giấy chứng nhận, Tem kiểm định an toàn kỹ thuật và bảo vệ môi trường phương tiện giao thông cơ giới đường bộ</w:t>
            </w:r>
          </w:p>
          <w:p w14:paraId="6C18D9DE" w14:textId="7E548461" w:rsidR="003039AE" w:rsidRPr="00365C2F" w:rsidRDefault="003039AE" w:rsidP="003039AE">
            <w:pPr>
              <w:jc w:val="both"/>
              <w:rPr>
                <w:color w:val="FF0000"/>
                <w:shd w:val="clear" w:color="auto" w:fill="FFFFFF"/>
              </w:rPr>
            </w:pPr>
          </w:p>
        </w:tc>
        <w:tc>
          <w:tcPr>
            <w:tcW w:w="3969" w:type="dxa"/>
            <w:vMerge/>
          </w:tcPr>
          <w:p w14:paraId="199FF68F" w14:textId="77777777" w:rsidR="003039AE" w:rsidRPr="00365C2F" w:rsidRDefault="003039AE" w:rsidP="003039AE">
            <w:pPr>
              <w:spacing w:after="120"/>
              <w:jc w:val="center"/>
              <w:rPr>
                <w:bCs/>
                <w:color w:val="000000"/>
              </w:rPr>
            </w:pPr>
          </w:p>
        </w:tc>
        <w:tc>
          <w:tcPr>
            <w:tcW w:w="2551" w:type="dxa"/>
            <w:vAlign w:val="center"/>
          </w:tcPr>
          <w:p w14:paraId="1213895F" w14:textId="4E45CA2F" w:rsidR="003039AE" w:rsidRPr="00365C2F" w:rsidRDefault="003039AE" w:rsidP="003039AE">
            <w:pPr>
              <w:pStyle w:val="ListParagraph"/>
              <w:ind w:left="-40"/>
              <w:jc w:val="center"/>
              <w:rPr>
                <w:color w:val="000000" w:themeColor="text1"/>
              </w:rPr>
            </w:pPr>
            <w:r w:rsidRPr="00365C2F">
              <w:rPr>
                <w:color w:val="000000" w:themeColor="text1"/>
              </w:rPr>
              <w:t>Đơn vị đăng kiểm</w:t>
            </w:r>
          </w:p>
        </w:tc>
      </w:tr>
    </w:tbl>
    <w:p w14:paraId="6BB8DD81" w14:textId="51EAB869" w:rsidR="00CC3F65" w:rsidRPr="00365C2F" w:rsidRDefault="00CC3F65" w:rsidP="00742A83">
      <w:pPr>
        <w:ind w:firstLine="567"/>
        <w:rPr>
          <w:b/>
          <w:bCs/>
          <w:color w:val="000000"/>
          <w:lang w:val="pt-BR"/>
        </w:rPr>
      </w:pPr>
    </w:p>
    <w:p w14:paraId="48B57A50" w14:textId="77777777" w:rsidR="00FD2727" w:rsidRPr="00365C2F" w:rsidRDefault="00FD2727" w:rsidP="00742A83">
      <w:pPr>
        <w:ind w:left="720" w:firstLine="720"/>
        <w:jc w:val="both"/>
        <w:rPr>
          <w:b/>
          <w:bCs/>
          <w:color w:val="000000"/>
        </w:rPr>
      </w:pPr>
    </w:p>
    <w:p w14:paraId="74E336B7" w14:textId="77777777" w:rsidR="00BD757E" w:rsidRPr="00365C2F" w:rsidRDefault="00BD757E" w:rsidP="00FD2727">
      <w:pPr>
        <w:spacing w:before="60"/>
        <w:ind w:left="720" w:firstLine="720"/>
        <w:jc w:val="both"/>
        <w:rPr>
          <w:b/>
          <w:bCs/>
          <w:color w:val="000000"/>
        </w:rPr>
      </w:pPr>
    </w:p>
    <w:p w14:paraId="48300C99" w14:textId="77777777" w:rsidR="00BD757E" w:rsidRPr="00365C2F" w:rsidRDefault="00BD757E" w:rsidP="00FD2727">
      <w:pPr>
        <w:spacing w:before="60"/>
        <w:ind w:left="720" w:firstLine="720"/>
        <w:jc w:val="both"/>
        <w:rPr>
          <w:b/>
          <w:bCs/>
          <w:color w:val="000000"/>
        </w:rPr>
      </w:pPr>
    </w:p>
    <w:p w14:paraId="63D3BA08" w14:textId="77777777" w:rsidR="00BD757E" w:rsidRPr="00365C2F" w:rsidRDefault="00BD757E" w:rsidP="00FD2727">
      <w:pPr>
        <w:spacing w:before="60"/>
        <w:ind w:left="720" w:firstLine="720"/>
        <w:jc w:val="both"/>
        <w:rPr>
          <w:b/>
          <w:bCs/>
          <w:color w:val="000000"/>
        </w:rPr>
      </w:pPr>
    </w:p>
    <w:p w14:paraId="7D9D8B6A" w14:textId="77777777" w:rsidR="00BD757E" w:rsidRPr="00365C2F" w:rsidRDefault="00BD757E" w:rsidP="00FD2727">
      <w:pPr>
        <w:spacing w:before="60"/>
        <w:ind w:left="720" w:firstLine="720"/>
        <w:jc w:val="both"/>
        <w:rPr>
          <w:b/>
          <w:bCs/>
          <w:color w:val="000000"/>
        </w:rPr>
      </w:pPr>
    </w:p>
    <w:p w14:paraId="655ABFA7" w14:textId="77777777" w:rsidR="00BD757E" w:rsidRPr="00365C2F" w:rsidRDefault="00BD757E" w:rsidP="00FD2727">
      <w:pPr>
        <w:spacing w:before="60"/>
        <w:ind w:left="720" w:firstLine="720"/>
        <w:jc w:val="both"/>
        <w:rPr>
          <w:b/>
          <w:bCs/>
          <w:color w:val="000000"/>
        </w:rPr>
      </w:pPr>
    </w:p>
    <w:p w14:paraId="5D249700" w14:textId="77777777" w:rsidR="00BD757E" w:rsidRPr="00365C2F" w:rsidRDefault="00BD757E" w:rsidP="00FD2727">
      <w:pPr>
        <w:spacing w:before="60"/>
        <w:ind w:left="720" w:firstLine="720"/>
        <w:jc w:val="both"/>
        <w:rPr>
          <w:b/>
          <w:bCs/>
          <w:color w:val="000000"/>
        </w:rPr>
      </w:pPr>
    </w:p>
    <w:p w14:paraId="27058AB1" w14:textId="77777777" w:rsidR="00FD2727" w:rsidRPr="00365C2F" w:rsidRDefault="00FD2727" w:rsidP="00742A83">
      <w:pPr>
        <w:ind w:firstLine="567"/>
        <w:rPr>
          <w:b/>
          <w:bCs/>
          <w:color w:val="000000"/>
          <w:lang w:val="pt-BR"/>
        </w:rPr>
      </w:pPr>
    </w:p>
    <w:sectPr w:rsidR="00FD2727" w:rsidRPr="00365C2F" w:rsidSect="00091322">
      <w:headerReference w:type="default" r:id="rId8"/>
      <w:footerReference w:type="default" r:id="rId9"/>
      <w:pgSz w:w="16838" w:h="11906" w:orient="landscape" w:code="9"/>
      <w:pgMar w:top="1021" w:right="680" w:bottom="851"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21354" w14:textId="77777777" w:rsidR="004F4F9C" w:rsidRDefault="004F4F9C" w:rsidP="00FC10EE">
      <w:r>
        <w:separator/>
      </w:r>
    </w:p>
  </w:endnote>
  <w:endnote w:type="continuationSeparator" w:id="0">
    <w:p w14:paraId="5B5F2786" w14:textId="77777777" w:rsidR="004F4F9C" w:rsidRDefault="004F4F9C" w:rsidP="00FC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NHelvet">
    <w:altName w:val="Arial"/>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1831471"/>
      <w:docPartObj>
        <w:docPartGallery w:val="Page Numbers (Bottom of Page)"/>
        <w:docPartUnique/>
      </w:docPartObj>
    </w:sdtPr>
    <w:sdtEndPr>
      <w:rPr>
        <w:noProof/>
        <w:sz w:val="24"/>
        <w:szCs w:val="24"/>
      </w:rPr>
    </w:sdtEndPr>
    <w:sdtContent>
      <w:p w14:paraId="15C6DCB8" w14:textId="20CE114E" w:rsidR="00FC10EE" w:rsidRPr="00E77AE3" w:rsidRDefault="004F4F9C">
        <w:pPr>
          <w:pStyle w:val="Footer"/>
          <w:jc w:val="center"/>
          <w:rPr>
            <w:sz w:val="24"/>
            <w:szCs w:val="24"/>
          </w:rPr>
        </w:pPr>
      </w:p>
    </w:sdtContent>
  </w:sdt>
  <w:p w14:paraId="61D57508" w14:textId="77777777" w:rsidR="00FC10EE" w:rsidRDefault="00FC10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D1579" w14:textId="77777777" w:rsidR="004F4F9C" w:rsidRDefault="004F4F9C" w:rsidP="00FC10EE">
      <w:r>
        <w:separator/>
      </w:r>
    </w:p>
  </w:footnote>
  <w:footnote w:type="continuationSeparator" w:id="0">
    <w:p w14:paraId="1BC87670" w14:textId="77777777" w:rsidR="004F4F9C" w:rsidRDefault="004F4F9C" w:rsidP="00FC10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0358133"/>
      <w:docPartObj>
        <w:docPartGallery w:val="Page Numbers (Top of Page)"/>
        <w:docPartUnique/>
      </w:docPartObj>
    </w:sdtPr>
    <w:sdtEndPr>
      <w:rPr>
        <w:noProof/>
      </w:rPr>
    </w:sdtEndPr>
    <w:sdtContent>
      <w:p w14:paraId="5CBBCE8D" w14:textId="5667B164" w:rsidR="008D158F" w:rsidRDefault="008D158F">
        <w:pPr>
          <w:pStyle w:val="Header"/>
          <w:jc w:val="center"/>
        </w:pPr>
        <w:r>
          <w:fldChar w:fldCharType="begin"/>
        </w:r>
        <w:r>
          <w:instrText xml:space="preserve"> PAGE   \* MERGEFORMAT </w:instrText>
        </w:r>
        <w:r>
          <w:fldChar w:fldCharType="separate"/>
        </w:r>
        <w:r w:rsidR="003039AE">
          <w:rPr>
            <w:noProof/>
          </w:rPr>
          <w:t>9</w:t>
        </w:r>
        <w:r>
          <w:rPr>
            <w:noProof/>
          </w:rPr>
          <w:fldChar w:fldCharType="end"/>
        </w:r>
      </w:p>
    </w:sdtContent>
  </w:sdt>
  <w:p w14:paraId="645EFB67" w14:textId="77777777" w:rsidR="008D158F" w:rsidRDefault="008D158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3D68"/>
    <w:multiLevelType w:val="multilevel"/>
    <w:tmpl w:val="EE8E5EAC"/>
    <w:lvl w:ilvl="0">
      <w:start w:val="1"/>
      <w:numFmt w:val="decimal"/>
      <w:lvlText w:val="%1."/>
      <w:lvlJc w:val="left"/>
      <w:pPr>
        <w:ind w:left="940" w:hanging="280"/>
        <w:jc w:val="right"/>
      </w:pPr>
      <w:rPr>
        <w:rFonts w:ascii="Times New Roman" w:eastAsia="Times New Roman" w:hAnsi="Times New Roman" w:cs="Times New Roman" w:hint="default"/>
        <w:b/>
        <w:bCs/>
        <w:i w:val="0"/>
        <w:iCs w:val="0"/>
        <w:spacing w:val="0"/>
        <w:w w:val="100"/>
        <w:sz w:val="28"/>
        <w:szCs w:val="28"/>
        <w:lang w:val="vi" w:eastAsia="en-US" w:bidi="ar-SA"/>
      </w:rPr>
    </w:lvl>
    <w:lvl w:ilvl="1">
      <w:start w:val="1"/>
      <w:numFmt w:val="decimal"/>
      <w:lvlText w:val="%1.%2."/>
      <w:lvlJc w:val="left"/>
      <w:pPr>
        <w:ind w:left="1150" w:hanging="490"/>
      </w:pPr>
      <w:rPr>
        <w:rFonts w:ascii="Times New Roman" w:eastAsia="Times New Roman" w:hAnsi="Times New Roman" w:cs="Times New Roman" w:hint="default"/>
        <w:b/>
        <w:bCs/>
        <w:i w:val="0"/>
        <w:iCs w:val="0"/>
        <w:spacing w:val="0"/>
        <w:w w:val="95"/>
        <w:sz w:val="28"/>
        <w:szCs w:val="28"/>
        <w:lang w:val="vi" w:eastAsia="en-US" w:bidi="ar-SA"/>
      </w:rPr>
    </w:lvl>
    <w:lvl w:ilvl="2">
      <w:numFmt w:val="bullet"/>
      <w:lvlText w:val="-"/>
      <w:lvlJc w:val="left"/>
      <w:pPr>
        <w:ind w:left="921" w:hanging="194"/>
      </w:pPr>
      <w:rPr>
        <w:rFonts w:ascii="Times New Roman" w:eastAsia="Times New Roman" w:hAnsi="Times New Roman" w:cs="Times New Roman" w:hint="default"/>
        <w:spacing w:val="0"/>
        <w:w w:val="100"/>
        <w:lang w:val="vi" w:eastAsia="en-US" w:bidi="ar-SA"/>
      </w:rPr>
    </w:lvl>
    <w:lvl w:ilvl="3">
      <w:numFmt w:val="bullet"/>
      <w:lvlText w:val="•"/>
      <w:lvlJc w:val="left"/>
      <w:pPr>
        <w:ind w:left="920" w:hanging="194"/>
      </w:pPr>
      <w:rPr>
        <w:rFonts w:hint="default"/>
        <w:lang w:val="vi" w:eastAsia="en-US" w:bidi="ar-SA"/>
      </w:rPr>
    </w:lvl>
    <w:lvl w:ilvl="4">
      <w:numFmt w:val="bullet"/>
      <w:lvlText w:val="•"/>
      <w:lvlJc w:val="left"/>
      <w:pPr>
        <w:ind w:left="940" w:hanging="194"/>
      </w:pPr>
      <w:rPr>
        <w:rFonts w:hint="default"/>
        <w:lang w:val="vi" w:eastAsia="en-US" w:bidi="ar-SA"/>
      </w:rPr>
    </w:lvl>
    <w:lvl w:ilvl="5">
      <w:numFmt w:val="bullet"/>
      <w:lvlText w:val="•"/>
      <w:lvlJc w:val="left"/>
      <w:pPr>
        <w:ind w:left="1060" w:hanging="194"/>
      </w:pPr>
      <w:rPr>
        <w:rFonts w:hint="default"/>
        <w:lang w:val="vi" w:eastAsia="en-US" w:bidi="ar-SA"/>
      </w:rPr>
    </w:lvl>
    <w:lvl w:ilvl="6">
      <w:numFmt w:val="bullet"/>
      <w:lvlText w:val="•"/>
      <w:lvlJc w:val="left"/>
      <w:pPr>
        <w:ind w:left="1080" w:hanging="194"/>
      </w:pPr>
      <w:rPr>
        <w:rFonts w:hint="default"/>
        <w:lang w:val="vi" w:eastAsia="en-US" w:bidi="ar-SA"/>
      </w:rPr>
    </w:lvl>
    <w:lvl w:ilvl="7">
      <w:numFmt w:val="bullet"/>
      <w:lvlText w:val="•"/>
      <w:lvlJc w:val="left"/>
      <w:pPr>
        <w:ind w:left="1100" w:hanging="194"/>
      </w:pPr>
      <w:rPr>
        <w:rFonts w:hint="default"/>
        <w:lang w:val="vi" w:eastAsia="en-US" w:bidi="ar-SA"/>
      </w:rPr>
    </w:lvl>
    <w:lvl w:ilvl="8">
      <w:numFmt w:val="bullet"/>
      <w:lvlText w:val="•"/>
      <w:lvlJc w:val="left"/>
      <w:pPr>
        <w:ind w:left="1120" w:hanging="194"/>
      </w:pPr>
      <w:rPr>
        <w:rFonts w:hint="default"/>
        <w:lang w:val="vi" w:eastAsia="en-US" w:bidi="ar-SA"/>
      </w:rPr>
    </w:lvl>
  </w:abstractNum>
  <w:abstractNum w:abstractNumId="1" w15:restartNumberingAfterBreak="0">
    <w:nsid w:val="2F3253FC"/>
    <w:multiLevelType w:val="hybridMultilevel"/>
    <w:tmpl w:val="80722ACA"/>
    <w:lvl w:ilvl="0" w:tplc="E272E396">
      <w:numFmt w:val="bullet"/>
      <w:lvlText w:val="-"/>
      <w:lvlJc w:val="left"/>
      <w:pPr>
        <w:ind w:left="261" w:hanging="156"/>
      </w:pPr>
      <w:rPr>
        <w:rFonts w:ascii="Times New Roman" w:eastAsia="Times New Roman" w:hAnsi="Times New Roman" w:cs="Times New Roman" w:hint="default"/>
        <w:b w:val="0"/>
        <w:bCs w:val="0"/>
        <w:i w:val="0"/>
        <w:iCs w:val="0"/>
        <w:spacing w:val="0"/>
        <w:w w:val="100"/>
        <w:sz w:val="28"/>
        <w:szCs w:val="28"/>
        <w:lang w:val="vi" w:eastAsia="en-US" w:bidi="ar-SA"/>
      </w:rPr>
    </w:lvl>
    <w:lvl w:ilvl="1" w:tplc="A1CA7378">
      <w:numFmt w:val="bullet"/>
      <w:lvlText w:val="•"/>
      <w:lvlJc w:val="left"/>
      <w:pPr>
        <w:ind w:left="1180" w:hanging="156"/>
      </w:pPr>
      <w:rPr>
        <w:rFonts w:hint="default"/>
        <w:lang w:val="vi" w:eastAsia="en-US" w:bidi="ar-SA"/>
      </w:rPr>
    </w:lvl>
    <w:lvl w:ilvl="2" w:tplc="232EFB24">
      <w:numFmt w:val="bullet"/>
      <w:lvlText w:val="•"/>
      <w:lvlJc w:val="left"/>
      <w:pPr>
        <w:ind w:left="2101" w:hanging="156"/>
      </w:pPr>
      <w:rPr>
        <w:rFonts w:hint="default"/>
        <w:lang w:val="vi" w:eastAsia="en-US" w:bidi="ar-SA"/>
      </w:rPr>
    </w:lvl>
    <w:lvl w:ilvl="3" w:tplc="57C23CC6">
      <w:numFmt w:val="bullet"/>
      <w:lvlText w:val="•"/>
      <w:lvlJc w:val="left"/>
      <w:pPr>
        <w:ind w:left="3022" w:hanging="156"/>
      </w:pPr>
      <w:rPr>
        <w:rFonts w:hint="default"/>
        <w:lang w:val="vi" w:eastAsia="en-US" w:bidi="ar-SA"/>
      </w:rPr>
    </w:lvl>
    <w:lvl w:ilvl="4" w:tplc="FA4CC86E">
      <w:numFmt w:val="bullet"/>
      <w:lvlText w:val="•"/>
      <w:lvlJc w:val="left"/>
      <w:pPr>
        <w:ind w:left="3942" w:hanging="156"/>
      </w:pPr>
      <w:rPr>
        <w:rFonts w:hint="default"/>
        <w:lang w:val="vi" w:eastAsia="en-US" w:bidi="ar-SA"/>
      </w:rPr>
    </w:lvl>
    <w:lvl w:ilvl="5" w:tplc="A5AEB130">
      <w:numFmt w:val="bullet"/>
      <w:lvlText w:val="•"/>
      <w:lvlJc w:val="left"/>
      <w:pPr>
        <w:ind w:left="4863" w:hanging="156"/>
      </w:pPr>
      <w:rPr>
        <w:rFonts w:hint="default"/>
        <w:lang w:val="vi" w:eastAsia="en-US" w:bidi="ar-SA"/>
      </w:rPr>
    </w:lvl>
    <w:lvl w:ilvl="6" w:tplc="16BC8960">
      <w:numFmt w:val="bullet"/>
      <w:lvlText w:val="•"/>
      <w:lvlJc w:val="left"/>
      <w:pPr>
        <w:ind w:left="5784" w:hanging="156"/>
      </w:pPr>
      <w:rPr>
        <w:rFonts w:hint="default"/>
        <w:lang w:val="vi" w:eastAsia="en-US" w:bidi="ar-SA"/>
      </w:rPr>
    </w:lvl>
    <w:lvl w:ilvl="7" w:tplc="904AFDAE">
      <w:numFmt w:val="bullet"/>
      <w:lvlText w:val="•"/>
      <w:lvlJc w:val="left"/>
      <w:pPr>
        <w:ind w:left="6704" w:hanging="156"/>
      </w:pPr>
      <w:rPr>
        <w:rFonts w:hint="default"/>
        <w:lang w:val="vi" w:eastAsia="en-US" w:bidi="ar-SA"/>
      </w:rPr>
    </w:lvl>
    <w:lvl w:ilvl="8" w:tplc="BAB089EC">
      <w:numFmt w:val="bullet"/>
      <w:lvlText w:val="•"/>
      <w:lvlJc w:val="left"/>
      <w:pPr>
        <w:ind w:left="7625" w:hanging="156"/>
      </w:pPr>
      <w:rPr>
        <w:rFonts w:hint="default"/>
        <w:lang w:val="vi" w:eastAsia="en-US" w:bidi="ar-SA"/>
      </w:rPr>
    </w:lvl>
  </w:abstractNum>
  <w:abstractNum w:abstractNumId="2" w15:restartNumberingAfterBreak="0">
    <w:nsid w:val="4C826041"/>
    <w:multiLevelType w:val="multilevel"/>
    <w:tmpl w:val="BC5CB8D6"/>
    <w:lvl w:ilvl="0">
      <w:start w:val="41"/>
      <w:numFmt w:val="decimal"/>
      <w:lvlText w:val="%1"/>
      <w:lvlJc w:val="left"/>
      <w:pPr>
        <w:ind w:left="1551" w:hanging="630"/>
      </w:pPr>
      <w:rPr>
        <w:rFonts w:hint="default"/>
        <w:lang w:val="vi" w:eastAsia="en-US" w:bidi="ar-SA"/>
      </w:rPr>
    </w:lvl>
    <w:lvl w:ilvl="1">
      <w:start w:val="7"/>
      <w:numFmt w:val="decimal"/>
      <w:lvlText w:val="%1.%2."/>
      <w:lvlJc w:val="left"/>
      <w:pPr>
        <w:ind w:left="155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1063" w:hanging="143"/>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2741" w:hanging="143"/>
      </w:pPr>
      <w:rPr>
        <w:rFonts w:hint="default"/>
        <w:lang w:val="vi" w:eastAsia="en-US" w:bidi="ar-SA"/>
      </w:rPr>
    </w:lvl>
    <w:lvl w:ilvl="4">
      <w:numFmt w:val="bullet"/>
      <w:lvlText w:val="•"/>
      <w:lvlJc w:val="left"/>
      <w:pPr>
        <w:ind w:left="3922" w:hanging="143"/>
      </w:pPr>
      <w:rPr>
        <w:rFonts w:hint="default"/>
        <w:lang w:val="vi" w:eastAsia="en-US" w:bidi="ar-SA"/>
      </w:rPr>
    </w:lvl>
    <w:lvl w:ilvl="5">
      <w:numFmt w:val="bullet"/>
      <w:lvlText w:val="•"/>
      <w:lvlJc w:val="left"/>
      <w:pPr>
        <w:ind w:left="5103" w:hanging="143"/>
      </w:pPr>
      <w:rPr>
        <w:rFonts w:hint="default"/>
        <w:lang w:val="vi" w:eastAsia="en-US" w:bidi="ar-SA"/>
      </w:rPr>
    </w:lvl>
    <w:lvl w:ilvl="6">
      <w:numFmt w:val="bullet"/>
      <w:lvlText w:val="•"/>
      <w:lvlJc w:val="left"/>
      <w:pPr>
        <w:ind w:left="6284" w:hanging="143"/>
      </w:pPr>
      <w:rPr>
        <w:rFonts w:hint="default"/>
        <w:lang w:val="vi" w:eastAsia="en-US" w:bidi="ar-SA"/>
      </w:rPr>
    </w:lvl>
    <w:lvl w:ilvl="7">
      <w:numFmt w:val="bullet"/>
      <w:lvlText w:val="•"/>
      <w:lvlJc w:val="left"/>
      <w:pPr>
        <w:ind w:left="7465" w:hanging="143"/>
      </w:pPr>
      <w:rPr>
        <w:rFonts w:hint="default"/>
        <w:lang w:val="vi" w:eastAsia="en-US" w:bidi="ar-SA"/>
      </w:rPr>
    </w:lvl>
    <w:lvl w:ilvl="8">
      <w:numFmt w:val="bullet"/>
      <w:lvlText w:val="•"/>
      <w:lvlJc w:val="left"/>
      <w:pPr>
        <w:ind w:left="8646" w:hanging="143"/>
      </w:pPr>
      <w:rPr>
        <w:rFonts w:hint="default"/>
        <w:lang w:val="vi" w:eastAsia="en-US" w:bidi="ar-SA"/>
      </w:rPr>
    </w:lvl>
  </w:abstractNum>
  <w:abstractNum w:abstractNumId="3" w15:restartNumberingAfterBreak="0">
    <w:nsid w:val="4FE70504"/>
    <w:multiLevelType w:val="hybridMultilevel"/>
    <w:tmpl w:val="40A205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05B747D"/>
    <w:multiLevelType w:val="multilevel"/>
    <w:tmpl w:val="5CCED700"/>
    <w:lvl w:ilvl="0">
      <w:start w:val="14"/>
      <w:numFmt w:val="decimal"/>
      <w:lvlText w:val="%1"/>
      <w:lvlJc w:val="left"/>
      <w:pPr>
        <w:ind w:left="891" w:hanging="630"/>
      </w:pPr>
      <w:rPr>
        <w:rFonts w:hint="default"/>
        <w:lang w:val="vi"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1970" w:hanging="164"/>
      </w:pPr>
      <w:rPr>
        <w:rFonts w:hint="default"/>
        <w:lang w:val="vi" w:eastAsia="en-US" w:bidi="ar-SA"/>
      </w:rPr>
    </w:lvl>
    <w:lvl w:ilvl="4">
      <w:numFmt w:val="bullet"/>
      <w:lvlText w:val="•"/>
      <w:lvlJc w:val="left"/>
      <w:pPr>
        <w:ind w:left="3041" w:hanging="164"/>
      </w:pPr>
      <w:rPr>
        <w:rFonts w:hint="default"/>
        <w:lang w:val="vi" w:eastAsia="en-US" w:bidi="ar-SA"/>
      </w:rPr>
    </w:lvl>
    <w:lvl w:ilvl="5">
      <w:numFmt w:val="bullet"/>
      <w:lvlText w:val="•"/>
      <w:lvlJc w:val="left"/>
      <w:pPr>
        <w:ind w:left="4112" w:hanging="164"/>
      </w:pPr>
      <w:rPr>
        <w:rFonts w:hint="default"/>
        <w:lang w:val="vi" w:eastAsia="en-US" w:bidi="ar-SA"/>
      </w:rPr>
    </w:lvl>
    <w:lvl w:ilvl="6">
      <w:numFmt w:val="bullet"/>
      <w:lvlText w:val="•"/>
      <w:lvlJc w:val="left"/>
      <w:pPr>
        <w:ind w:left="5183" w:hanging="164"/>
      </w:pPr>
      <w:rPr>
        <w:rFonts w:hint="default"/>
        <w:lang w:val="vi" w:eastAsia="en-US" w:bidi="ar-SA"/>
      </w:rPr>
    </w:lvl>
    <w:lvl w:ilvl="7">
      <w:numFmt w:val="bullet"/>
      <w:lvlText w:val="•"/>
      <w:lvlJc w:val="left"/>
      <w:pPr>
        <w:ind w:left="6254" w:hanging="164"/>
      </w:pPr>
      <w:rPr>
        <w:rFonts w:hint="default"/>
        <w:lang w:val="vi" w:eastAsia="en-US" w:bidi="ar-SA"/>
      </w:rPr>
    </w:lvl>
    <w:lvl w:ilvl="8">
      <w:numFmt w:val="bullet"/>
      <w:lvlText w:val="•"/>
      <w:lvlJc w:val="left"/>
      <w:pPr>
        <w:ind w:left="7325" w:hanging="164"/>
      </w:pPr>
      <w:rPr>
        <w:rFonts w:hint="default"/>
        <w:lang w:val="vi" w:eastAsia="en-US" w:bidi="ar-SA"/>
      </w:rPr>
    </w:lvl>
  </w:abstractNum>
  <w:abstractNum w:abstractNumId="5" w15:restartNumberingAfterBreak="0">
    <w:nsid w:val="512F37E2"/>
    <w:multiLevelType w:val="hybridMultilevel"/>
    <w:tmpl w:val="75943D38"/>
    <w:lvl w:ilvl="0" w:tplc="349CCE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76C7FE4"/>
    <w:multiLevelType w:val="multilevel"/>
    <w:tmpl w:val="3CD2B01C"/>
    <w:lvl w:ilvl="0">
      <w:start w:val="11"/>
      <w:numFmt w:val="decimal"/>
      <w:lvlText w:val="%1"/>
      <w:lvlJc w:val="left"/>
      <w:pPr>
        <w:ind w:left="891" w:hanging="630"/>
      </w:pPr>
      <w:rPr>
        <w:rFonts w:hint="default"/>
        <w:lang w:val="vi" w:eastAsia="en-US" w:bidi="ar-SA"/>
      </w:rPr>
    </w:lvl>
    <w:lvl w:ilvl="1">
      <w:start w:val="4"/>
      <w:numFmt w:val="decimal"/>
      <w:lvlText w:val="%1.%2."/>
      <w:lvlJc w:val="left"/>
      <w:pPr>
        <w:ind w:left="891" w:hanging="630"/>
      </w:pPr>
      <w:rPr>
        <w:rFonts w:ascii="Times New Roman" w:eastAsia="Times New Roman" w:hAnsi="Times New Roman" w:cs="Times New Roman" w:hint="default"/>
        <w:b/>
        <w:bCs/>
        <w:i w:val="0"/>
        <w:iCs w:val="0"/>
        <w:spacing w:val="0"/>
        <w:w w:val="100"/>
        <w:sz w:val="28"/>
        <w:szCs w:val="28"/>
        <w:lang w:val="vi" w:eastAsia="en-US" w:bidi="ar-SA"/>
      </w:rPr>
    </w:lvl>
    <w:lvl w:ilvl="2">
      <w:numFmt w:val="bullet"/>
      <w:lvlText w:val="-"/>
      <w:lvlJc w:val="left"/>
      <w:pPr>
        <w:ind w:left="42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numFmt w:val="bullet"/>
      <w:lvlText w:val="•"/>
      <w:lvlJc w:val="left"/>
      <w:pPr>
        <w:ind w:left="1970" w:hanging="164"/>
      </w:pPr>
      <w:rPr>
        <w:rFonts w:hint="default"/>
        <w:lang w:val="vi" w:eastAsia="en-US" w:bidi="ar-SA"/>
      </w:rPr>
    </w:lvl>
    <w:lvl w:ilvl="4">
      <w:numFmt w:val="bullet"/>
      <w:lvlText w:val="•"/>
      <w:lvlJc w:val="left"/>
      <w:pPr>
        <w:ind w:left="3041" w:hanging="164"/>
      </w:pPr>
      <w:rPr>
        <w:rFonts w:hint="default"/>
        <w:lang w:val="vi" w:eastAsia="en-US" w:bidi="ar-SA"/>
      </w:rPr>
    </w:lvl>
    <w:lvl w:ilvl="5">
      <w:numFmt w:val="bullet"/>
      <w:lvlText w:val="•"/>
      <w:lvlJc w:val="left"/>
      <w:pPr>
        <w:ind w:left="4112" w:hanging="164"/>
      </w:pPr>
      <w:rPr>
        <w:rFonts w:hint="default"/>
        <w:lang w:val="vi" w:eastAsia="en-US" w:bidi="ar-SA"/>
      </w:rPr>
    </w:lvl>
    <w:lvl w:ilvl="6">
      <w:numFmt w:val="bullet"/>
      <w:lvlText w:val="•"/>
      <w:lvlJc w:val="left"/>
      <w:pPr>
        <w:ind w:left="5183" w:hanging="164"/>
      </w:pPr>
      <w:rPr>
        <w:rFonts w:hint="default"/>
        <w:lang w:val="vi" w:eastAsia="en-US" w:bidi="ar-SA"/>
      </w:rPr>
    </w:lvl>
    <w:lvl w:ilvl="7">
      <w:numFmt w:val="bullet"/>
      <w:lvlText w:val="•"/>
      <w:lvlJc w:val="left"/>
      <w:pPr>
        <w:ind w:left="6254" w:hanging="164"/>
      </w:pPr>
      <w:rPr>
        <w:rFonts w:hint="default"/>
        <w:lang w:val="vi" w:eastAsia="en-US" w:bidi="ar-SA"/>
      </w:rPr>
    </w:lvl>
    <w:lvl w:ilvl="8">
      <w:numFmt w:val="bullet"/>
      <w:lvlText w:val="•"/>
      <w:lvlJc w:val="left"/>
      <w:pPr>
        <w:ind w:left="7325" w:hanging="164"/>
      </w:pPr>
      <w:rPr>
        <w:rFonts w:hint="default"/>
        <w:lang w:val="vi" w:eastAsia="en-US" w:bidi="ar-SA"/>
      </w:rPr>
    </w:lvl>
  </w:abstractNum>
  <w:abstractNum w:abstractNumId="7" w15:restartNumberingAfterBreak="0">
    <w:nsid w:val="5C894DFC"/>
    <w:multiLevelType w:val="hybridMultilevel"/>
    <w:tmpl w:val="0E923694"/>
    <w:lvl w:ilvl="0" w:tplc="5450DDF6">
      <w:numFmt w:val="bullet"/>
      <w:lvlText w:val="-"/>
      <w:lvlJc w:val="left"/>
      <w:pPr>
        <w:ind w:left="261" w:hanging="182"/>
      </w:pPr>
      <w:rPr>
        <w:rFonts w:ascii="Times New Roman" w:eastAsia="Times New Roman" w:hAnsi="Times New Roman" w:cs="Times New Roman" w:hint="default"/>
        <w:b w:val="0"/>
        <w:bCs w:val="0"/>
        <w:i w:val="0"/>
        <w:iCs w:val="0"/>
        <w:spacing w:val="0"/>
        <w:w w:val="100"/>
        <w:sz w:val="28"/>
        <w:szCs w:val="28"/>
        <w:lang w:val="vi" w:eastAsia="en-US" w:bidi="ar-SA"/>
      </w:rPr>
    </w:lvl>
    <w:lvl w:ilvl="1" w:tplc="DDD8235C">
      <w:numFmt w:val="bullet"/>
      <w:lvlText w:val="•"/>
      <w:lvlJc w:val="left"/>
      <w:pPr>
        <w:ind w:left="1180" w:hanging="182"/>
      </w:pPr>
      <w:rPr>
        <w:rFonts w:hint="default"/>
        <w:lang w:val="vi" w:eastAsia="en-US" w:bidi="ar-SA"/>
      </w:rPr>
    </w:lvl>
    <w:lvl w:ilvl="2" w:tplc="EB269C4C">
      <w:numFmt w:val="bullet"/>
      <w:lvlText w:val="•"/>
      <w:lvlJc w:val="left"/>
      <w:pPr>
        <w:ind w:left="2101" w:hanging="182"/>
      </w:pPr>
      <w:rPr>
        <w:rFonts w:hint="default"/>
        <w:lang w:val="vi" w:eastAsia="en-US" w:bidi="ar-SA"/>
      </w:rPr>
    </w:lvl>
    <w:lvl w:ilvl="3" w:tplc="89CA9330">
      <w:numFmt w:val="bullet"/>
      <w:lvlText w:val="•"/>
      <w:lvlJc w:val="left"/>
      <w:pPr>
        <w:ind w:left="3022" w:hanging="182"/>
      </w:pPr>
      <w:rPr>
        <w:rFonts w:hint="default"/>
        <w:lang w:val="vi" w:eastAsia="en-US" w:bidi="ar-SA"/>
      </w:rPr>
    </w:lvl>
    <w:lvl w:ilvl="4" w:tplc="3C2E045A">
      <w:numFmt w:val="bullet"/>
      <w:lvlText w:val="•"/>
      <w:lvlJc w:val="left"/>
      <w:pPr>
        <w:ind w:left="3942" w:hanging="182"/>
      </w:pPr>
      <w:rPr>
        <w:rFonts w:hint="default"/>
        <w:lang w:val="vi" w:eastAsia="en-US" w:bidi="ar-SA"/>
      </w:rPr>
    </w:lvl>
    <w:lvl w:ilvl="5" w:tplc="2CF06B5E">
      <w:numFmt w:val="bullet"/>
      <w:lvlText w:val="•"/>
      <w:lvlJc w:val="left"/>
      <w:pPr>
        <w:ind w:left="4863" w:hanging="182"/>
      </w:pPr>
      <w:rPr>
        <w:rFonts w:hint="default"/>
        <w:lang w:val="vi" w:eastAsia="en-US" w:bidi="ar-SA"/>
      </w:rPr>
    </w:lvl>
    <w:lvl w:ilvl="6" w:tplc="77821DB8">
      <w:numFmt w:val="bullet"/>
      <w:lvlText w:val="•"/>
      <w:lvlJc w:val="left"/>
      <w:pPr>
        <w:ind w:left="5784" w:hanging="182"/>
      </w:pPr>
      <w:rPr>
        <w:rFonts w:hint="default"/>
        <w:lang w:val="vi" w:eastAsia="en-US" w:bidi="ar-SA"/>
      </w:rPr>
    </w:lvl>
    <w:lvl w:ilvl="7" w:tplc="99C823FE">
      <w:numFmt w:val="bullet"/>
      <w:lvlText w:val="•"/>
      <w:lvlJc w:val="left"/>
      <w:pPr>
        <w:ind w:left="6704" w:hanging="182"/>
      </w:pPr>
      <w:rPr>
        <w:rFonts w:hint="default"/>
        <w:lang w:val="vi" w:eastAsia="en-US" w:bidi="ar-SA"/>
      </w:rPr>
    </w:lvl>
    <w:lvl w:ilvl="8" w:tplc="2744C09C">
      <w:numFmt w:val="bullet"/>
      <w:lvlText w:val="•"/>
      <w:lvlJc w:val="left"/>
      <w:pPr>
        <w:ind w:left="7625" w:hanging="182"/>
      </w:pPr>
      <w:rPr>
        <w:rFonts w:hint="default"/>
        <w:lang w:val="vi" w:eastAsia="en-US" w:bidi="ar-SA"/>
      </w:rPr>
    </w:lvl>
  </w:abstractNum>
  <w:abstractNum w:abstractNumId="8" w15:restartNumberingAfterBreak="0">
    <w:nsid w:val="64D91C85"/>
    <w:multiLevelType w:val="hybridMultilevel"/>
    <w:tmpl w:val="879629A4"/>
    <w:lvl w:ilvl="0" w:tplc="E16CB05A">
      <w:numFmt w:val="bullet"/>
      <w:lvlText w:val="-"/>
      <w:lvlJc w:val="left"/>
      <w:pPr>
        <w:ind w:left="431" w:hanging="171"/>
      </w:pPr>
      <w:rPr>
        <w:rFonts w:ascii="Times New Roman" w:eastAsia="Times New Roman" w:hAnsi="Times New Roman" w:cs="Times New Roman" w:hint="default"/>
        <w:b w:val="0"/>
        <w:bCs w:val="0"/>
        <w:i w:val="0"/>
        <w:iCs w:val="0"/>
        <w:spacing w:val="0"/>
        <w:w w:val="100"/>
        <w:sz w:val="28"/>
        <w:szCs w:val="28"/>
        <w:lang w:val="vi" w:eastAsia="en-US" w:bidi="ar-SA"/>
      </w:rPr>
    </w:lvl>
    <w:lvl w:ilvl="1" w:tplc="124E93DE">
      <w:numFmt w:val="bullet"/>
      <w:lvlText w:val="•"/>
      <w:lvlJc w:val="left"/>
      <w:pPr>
        <w:ind w:left="1342" w:hanging="171"/>
      </w:pPr>
      <w:rPr>
        <w:rFonts w:hint="default"/>
        <w:lang w:val="vi" w:eastAsia="en-US" w:bidi="ar-SA"/>
      </w:rPr>
    </w:lvl>
    <w:lvl w:ilvl="2" w:tplc="1646E4BC">
      <w:numFmt w:val="bullet"/>
      <w:lvlText w:val="•"/>
      <w:lvlJc w:val="left"/>
      <w:pPr>
        <w:ind w:left="2245" w:hanging="171"/>
      </w:pPr>
      <w:rPr>
        <w:rFonts w:hint="default"/>
        <w:lang w:val="vi" w:eastAsia="en-US" w:bidi="ar-SA"/>
      </w:rPr>
    </w:lvl>
    <w:lvl w:ilvl="3" w:tplc="9D881328">
      <w:numFmt w:val="bullet"/>
      <w:lvlText w:val="•"/>
      <w:lvlJc w:val="left"/>
      <w:pPr>
        <w:ind w:left="3148" w:hanging="171"/>
      </w:pPr>
      <w:rPr>
        <w:rFonts w:hint="default"/>
        <w:lang w:val="vi" w:eastAsia="en-US" w:bidi="ar-SA"/>
      </w:rPr>
    </w:lvl>
    <w:lvl w:ilvl="4" w:tplc="4F06F3C0">
      <w:numFmt w:val="bullet"/>
      <w:lvlText w:val="•"/>
      <w:lvlJc w:val="left"/>
      <w:pPr>
        <w:ind w:left="4050" w:hanging="171"/>
      </w:pPr>
      <w:rPr>
        <w:rFonts w:hint="default"/>
        <w:lang w:val="vi" w:eastAsia="en-US" w:bidi="ar-SA"/>
      </w:rPr>
    </w:lvl>
    <w:lvl w:ilvl="5" w:tplc="CE7C0302">
      <w:numFmt w:val="bullet"/>
      <w:lvlText w:val="•"/>
      <w:lvlJc w:val="left"/>
      <w:pPr>
        <w:ind w:left="4953" w:hanging="171"/>
      </w:pPr>
      <w:rPr>
        <w:rFonts w:hint="default"/>
        <w:lang w:val="vi" w:eastAsia="en-US" w:bidi="ar-SA"/>
      </w:rPr>
    </w:lvl>
    <w:lvl w:ilvl="6" w:tplc="9F5C1C5C">
      <w:numFmt w:val="bullet"/>
      <w:lvlText w:val="•"/>
      <w:lvlJc w:val="left"/>
      <w:pPr>
        <w:ind w:left="5856" w:hanging="171"/>
      </w:pPr>
      <w:rPr>
        <w:rFonts w:hint="default"/>
        <w:lang w:val="vi" w:eastAsia="en-US" w:bidi="ar-SA"/>
      </w:rPr>
    </w:lvl>
    <w:lvl w:ilvl="7" w:tplc="622A3E84">
      <w:numFmt w:val="bullet"/>
      <w:lvlText w:val="•"/>
      <w:lvlJc w:val="left"/>
      <w:pPr>
        <w:ind w:left="6758" w:hanging="171"/>
      </w:pPr>
      <w:rPr>
        <w:rFonts w:hint="default"/>
        <w:lang w:val="vi" w:eastAsia="en-US" w:bidi="ar-SA"/>
      </w:rPr>
    </w:lvl>
    <w:lvl w:ilvl="8" w:tplc="CDC0DC7E">
      <w:numFmt w:val="bullet"/>
      <w:lvlText w:val="•"/>
      <w:lvlJc w:val="left"/>
      <w:pPr>
        <w:ind w:left="7661" w:hanging="171"/>
      </w:pPr>
      <w:rPr>
        <w:rFonts w:hint="default"/>
        <w:lang w:val="vi" w:eastAsia="en-US" w:bidi="ar-SA"/>
      </w:rPr>
    </w:lvl>
  </w:abstractNum>
  <w:abstractNum w:abstractNumId="9" w15:restartNumberingAfterBreak="0">
    <w:nsid w:val="661154C2"/>
    <w:multiLevelType w:val="hybridMultilevel"/>
    <w:tmpl w:val="665E90A0"/>
    <w:lvl w:ilvl="0" w:tplc="C010B4A4">
      <w:start w:val="1"/>
      <w:numFmt w:val="bullet"/>
      <w:lvlText w:val="-"/>
      <w:lvlJc w:val="left"/>
      <w:pPr>
        <w:ind w:left="499" w:hanging="360"/>
      </w:pPr>
      <w:rPr>
        <w:rFonts w:ascii="Times New Roman" w:eastAsia="Times New Roman" w:hAnsi="Times New Roman" w:cs="Times New Roman" w:hint="default"/>
      </w:rPr>
    </w:lvl>
    <w:lvl w:ilvl="1" w:tplc="04090003" w:tentative="1">
      <w:start w:val="1"/>
      <w:numFmt w:val="bullet"/>
      <w:lvlText w:val="o"/>
      <w:lvlJc w:val="left"/>
      <w:pPr>
        <w:ind w:left="1219" w:hanging="360"/>
      </w:pPr>
      <w:rPr>
        <w:rFonts w:ascii="Courier New" w:hAnsi="Courier New" w:cs="Courier New" w:hint="default"/>
      </w:rPr>
    </w:lvl>
    <w:lvl w:ilvl="2" w:tplc="04090005" w:tentative="1">
      <w:start w:val="1"/>
      <w:numFmt w:val="bullet"/>
      <w:lvlText w:val=""/>
      <w:lvlJc w:val="left"/>
      <w:pPr>
        <w:ind w:left="1939" w:hanging="360"/>
      </w:pPr>
      <w:rPr>
        <w:rFonts w:ascii="Wingdings" w:hAnsi="Wingdings" w:hint="default"/>
      </w:rPr>
    </w:lvl>
    <w:lvl w:ilvl="3" w:tplc="04090001" w:tentative="1">
      <w:start w:val="1"/>
      <w:numFmt w:val="bullet"/>
      <w:lvlText w:val=""/>
      <w:lvlJc w:val="left"/>
      <w:pPr>
        <w:ind w:left="2659" w:hanging="360"/>
      </w:pPr>
      <w:rPr>
        <w:rFonts w:ascii="Symbol" w:hAnsi="Symbol" w:hint="default"/>
      </w:rPr>
    </w:lvl>
    <w:lvl w:ilvl="4" w:tplc="04090003" w:tentative="1">
      <w:start w:val="1"/>
      <w:numFmt w:val="bullet"/>
      <w:lvlText w:val="o"/>
      <w:lvlJc w:val="left"/>
      <w:pPr>
        <w:ind w:left="3379" w:hanging="360"/>
      </w:pPr>
      <w:rPr>
        <w:rFonts w:ascii="Courier New" w:hAnsi="Courier New" w:cs="Courier New" w:hint="default"/>
      </w:rPr>
    </w:lvl>
    <w:lvl w:ilvl="5" w:tplc="04090005" w:tentative="1">
      <w:start w:val="1"/>
      <w:numFmt w:val="bullet"/>
      <w:lvlText w:val=""/>
      <w:lvlJc w:val="left"/>
      <w:pPr>
        <w:ind w:left="4099" w:hanging="360"/>
      </w:pPr>
      <w:rPr>
        <w:rFonts w:ascii="Wingdings" w:hAnsi="Wingdings" w:hint="default"/>
      </w:rPr>
    </w:lvl>
    <w:lvl w:ilvl="6" w:tplc="04090001" w:tentative="1">
      <w:start w:val="1"/>
      <w:numFmt w:val="bullet"/>
      <w:lvlText w:val=""/>
      <w:lvlJc w:val="left"/>
      <w:pPr>
        <w:ind w:left="4819" w:hanging="360"/>
      </w:pPr>
      <w:rPr>
        <w:rFonts w:ascii="Symbol" w:hAnsi="Symbol" w:hint="default"/>
      </w:rPr>
    </w:lvl>
    <w:lvl w:ilvl="7" w:tplc="04090003" w:tentative="1">
      <w:start w:val="1"/>
      <w:numFmt w:val="bullet"/>
      <w:lvlText w:val="o"/>
      <w:lvlJc w:val="left"/>
      <w:pPr>
        <w:ind w:left="5539" w:hanging="360"/>
      </w:pPr>
      <w:rPr>
        <w:rFonts w:ascii="Courier New" w:hAnsi="Courier New" w:cs="Courier New" w:hint="default"/>
      </w:rPr>
    </w:lvl>
    <w:lvl w:ilvl="8" w:tplc="04090005" w:tentative="1">
      <w:start w:val="1"/>
      <w:numFmt w:val="bullet"/>
      <w:lvlText w:val=""/>
      <w:lvlJc w:val="left"/>
      <w:pPr>
        <w:ind w:left="6259" w:hanging="360"/>
      </w:pPr>
      <w:rPr>
        <w:rFonts w:ascii="Wingdings" w:hAnsi="Wingdings" w:hint="default"/>
      </w:rPr>
    </w:lvl>
  </w:abstractNum>
  <w:abstractNum w:abstractNumId="10" w15:restartNumberingAfterBreak="0">
    <w:nsid w:val="6C245D00"/>
    <w:multiLevelType w:val="hybridMultilevel"/>
    <w:tmpl w:val="B53AECE8"/>
    <w:lvl w:ilvl="0" w:tplc="E89C63E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6"/>
  </w:num>
  <w:num w:numId="3">
    <w:abstractNumId w:val="7"/>
  </w:num>
  <w:num w:numId="4">
    <w:abstractNumId w:val="1"/>
  </w:num>
  <w:num w:numId="5">
    <w:abstractNumId w:val="4"/>
  </w:num>
  <w:num w:numId="6">
    <w:abstractNumId w:val="8"/>
  </w:num>
  <w:num w:numId="7">
    <w:abstractNumId w:val="0"/>
  </w:num>
  <w:num w:numId="8">
    <w:abstractNumId w:val="9"/>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FAB"/>
    <w:rsid w:val="00000B8F"/>
    <w:rsid w:val="00005C59"/>
    <w:rsid w:val="00027A58"/>
    <w:rsid w:val="00065B3F"/>
    <w:rsid w:val="000838FE"/>
    <w:rsid w:val="00091322"/>
    <w:rsid w:val="000E42DA"/>
    <w:rsid w:val="000F45B4"/>
    <w:rsid w:val="001103A4"/>
    <w:rsid w:val="00123860"/>
    <w:rsid w:val="00133810"/>
    <w:rsid w:val="001427F6"/>
    <w:rsid w:val="00184720"/>
    <w:rsid w:val="00186B15"/>
    <w:rsid w:val="001B54EF"/>
    <w:rsid w:val="001D1D3E"/>
    <w:rsid w:val="001E1704"/>
    <w:rsid w:val="001E3DB9"/>
    <w:rsid w:val="00202167"/>
    <w:rsid w:val="0020643E"/>
    <w:rsid w:val="0021145D"/>
    <w:rsid w:val="00220472"/>
    <w:rsid w:val="0022407E"/>
    <w:rsid w:val="002342D6"/>
    <w:rsid w:val="00236321"/>
    <w:rsid w:val="002A3468"/>
    <w:rsid w:val="002A4D00"/>
    <w:rsid w:val="002B1697"/>
    <w:rsid w:val="002B6CDA"/>
    <w:rsid w:val="002B7721"/>
    <w:rsid w:val="002D2168"/>
    <w:rsid w:val="002D4B6E"/>
    <w:rsid w:val="002D7048"/>
    <w:rsid w:val="002E21EE"/>
    <w:rsid w:val="003039AE"/>
    <w:rsid w:val="00347384"/>
    <w:rsid w:val="00365C2F"/>
    <w:rsid w:val="00395C60"/>
    <w:rsid w:val="003B79ED"/>
    <w:rsid w:val="003C01F3"/>
    <w:rsid w:val="003C23FD"/>
    <w:rsid w:val="003F64DB"/>
    <w:rsid w:val="0041077A"/>
    <w:rsid w:val="00417C9D"/>
    <w:rsid w:val="004200F9"/>
    <w:rsid w:val="00483DBA"/>
    <w:rsid w:val="004842AD"/>
    <w:rsid w:val="004900E1"/>
    <w:rsid w:val="004A487D"/>
    <w:rsid w:val="004C5C18"/>
    <w:rsid w:val="004F3706"/>
    <w:rsid w:val="004F4F9C"/>
    <w:rsid w:val="00506FAB"/>
    <w:rsid w:val="00507CBE"/>
    <w:rsid w:val="0052731E"/>
    <w:rsid w:val="0054230C"/>
    <w:rsid w:val="00543C74"/>
    <w:rsid w:val="00565B35"/>
    <w:rsid w:val="00575F5C"/>
    <w:rsid w:val="0059018B"/>
    <w:rsid w:val="005A4A06"/>
    <w:rsid w:val="005C3A63"/>
    <w:rsid w:val="005D0AC1"/>
    <w:rsid w:val="005F7593"/>
    <w:rsid w:val="00621F08"/>
    <w:rsid w:val="00636FB9"/>
    <w:rsid w:val="006458B5"/>
    <w:rsid w:val="00654062"/>
    <w:rsid w:val="006847DA"/>
    <w:rsid w:val="006C7BD6"/>
    <w:rsid w:val="006D599B"/>
    <w:rsid w:val="006E3783"/>
    <w:rsid w:val="006E5AF3"/>
    <w:rsid w:val="006F3BE5"/>
    <w:rsid w:val="00713025"/>
    <w:rsid w:val="00724078"/>
    <w:rsid w:val="00724FAC"/>
    <w:rsid w:val="00726C86"/>
    <w:rsid w:val="007319C2"/>
    <w:rsid w:val="00742A83"/>
    <w:rsid w:val="00746BE6"/>
    <w:rsid w:val="00750F30"/>
    <w:rsid w:val="00764B77"/>
    <w:rsid w:val="00767CAE"/>
    <w:rsid w:val="007B07A7"/>
    <w:rsid w:val="007C0A07"/>
    <w:rsid w:val="007C2F35"/>
    <w:rsid w:val="007C3601"/>
    <w:rsid w:val="007D1A66"/>
    <w:rsid w:val="007F45DF"/>
    <w:rsid w:val="007F5685"/>
    <w:rsid w:val="00815518"/>
    <w:rsid w:val="00820CE2"/>
    <w:rsid w:val="00824933"/>
    <w:rsid w:val="0084428D"/>
    <w:rsid w:val="00854FE2"/>
    <w:rsid w:val="00875D2E"/>
    <w:rsid w:val="00893838"/>
    <w:rsid w:val="00897631"/>
    <w:rsid w:val="008B312E"/>
    <w:rsid w:val="008D158F"/>
    <w:rsid w:val="009035D1"/>
    <w:rsid w:val="00924FE9"/>
    <w:rsid w:val="0093749C"/>
    <w:rsid w:val="00950461"/>
    <w:rsid w:val="0095229F"/>
    <w:rsid w:val="0095502F"/>
    <w:rsid w:val="009571A0"/>
    <w:rsid w:val="009749FC"/>
    <w:rsid w:val="00980585"/>
    <w:rsid w:val="00990087"/>
    <w:rsid w:val="00993042"/>
    <w:rsid w:val="009940B6"/>
    <w:rsid w:val="009A0A59"/>
    <w:rsid w:val="009C3324"/>
    <w:rsid w:val="009D1C1D"/>
    <w:rsid w:val="009D7C90"/>
    <w:rsid w:val="009E459F"/>
    <w:rsid w:val="009F23CF"/>
    <w:rsid w:val="00A03D10"/>
    <w:rsid w:val="00A22D27"/>
    <w:rsid w:val="00A514CA"/>
    <w:rsid w:val="00A6419B"/>
    <w:rsid w:val="00A83407"/>
    <w:rsid w:val="00A93251"/>
    <w:rsid w:val="00AA5216"/>
    <w:rsid w:val="00AB0EF1"/>
    <w:rsid w:val="00AB14C8"/>
    <w:rsid w:val="00AB45E3"/>
    <w:rsid w:val="00AC5949"/>
    <w:rsid w:val="00AD5DB8"/>
    <w:rsid w:val="00AF1470"/>
    <w:rsid w:val="00AF7E1C"/>
    <w:rsid w:val="00B21777"/>
    <w:rsid w:val="00B21D5D"/>
    <w:rsid w:val="00B2230C"/>
    <w:rsid w:val="00B416E2"/>
    <w:rsid w:val="00B424B3"/>
    <w:rsid w:val="00B503B5"/>
    <w:rsid w:val="00B818CA"/>
    <w:rsid w:val="00B968E7"/>
    <w:rsid w:val="00B973D9"/>
    <w:rsid w:val="00BC4B6C"/>
    <w:rsid w:val="00BC6807"/>
    <w:rsid w:val="00BD757E"/>
    <w:rsid w:val="00BE67CA"/>
    <w:rsid w:val="00BF2EBD"/>
    <w:rsid w:val="00BF3F4E"/>
    <w:rsid w:val="00BF52A9"/>
    <w:rsid w:val="00C14C23"/>
    <w:rsid w:val="00C33C1E"/>
    <w:rsid w:val="00C34883"/>
    <w:rsid w:val="00C5147F"/>
    <w:rsid w:val="00C64F63"/>
    <w:rsid w:val="00CA6222"/>
    <w:rsid w:val="00CB0413"/>
    <w:rsid w:val="00CC3F65"/>
    <w:rsid w:val="00CD464C"/>
    <w:rsid w:val="00D00481"/>
    <w:rsid w:val="00D1384D"/>
    <w:rsid w:val="00D13D41"/>
    <w:rsid w:val="00D36BF7"/>
    <w:rsid w:val="00D8119D"/>
    <w:rsid w:val="00DA7499"/>
    <w:rsid w:val="00DB3114"/>
    <w:rsid w:val="00DC09D1"/>
    <w:rsid w:val="00E257C8"/>
    <w:rsid w:val="00E77AE3"/>
    <w:rsid w:val="00E9341D"/>
    <w:rsid w:val="00E94180"/>
    <w:rsid w:val="00EA3085"/>
    <w:rsid w:val="00EB251D"/>
    <w:rsid w:val="00EB2E28"/>
    <w:rsid w:val="00EC103A"/>
    <w:rsid w:val="00EC270A"/>
    <w:rsid w:val="00EC7598"/>
    <w:rsid w:val="00ED13FF"/>
    <w:rsid w:val="00ED4538"/>
    <w:rsid w:val="00EF366E"/>
    <w:rsid w:val="00EF7826"/>
    <w:rsid w:val="00F1405A"/>
    <w:rsid w:val="00F17EF9"/>
    <w:rsid w:val="00F229B0"/>
    <w:rsid w:val="00F237F6"/>
    <w:rsid w:val="00F32E1B"/>
    <w:rsid w:val="00F363D4"/>
    <w:rsid w:val="00F377A1"/>
    <w:rsid w:val="00F83E78"/>
    <w:rsid w:val="00F912F9"/>
    <w:rsid w:val="00FA4FA6"/>
    <w:rsid w:val="00FC10EE"/>
    <w:rsid w:val="00FC4C23"/>
    <w:rsid w:val="00FD1EA9"/>
    <w:rsid w:val="00FD2727"/>
    <w:rsid w:val="00FD45AC"/>
    <w:rsid w:val="00FD4B43"/>
    <w:rsid w:val="00FD4B73"/>
    <w:rsid w:val="00FF0A85"/>
    <w:rsid w:val="00FF5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8D6F1"/>
  <w15:docId w15:val="{83280EC0-E090-4F91-BDBD-661A4940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6F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F52A9"/>
    <w:pPr>
      <w:keepNext/>
      <w:spacing w:before="240" w:after="60"/>
      <w:jc w:val="center"/>
      <w:outlineLvl w:val="0"/>
    </w:pPr>
    <w:rPr>
      <w:rFonts w:ascii="MS Gothic" w:eastAsia="Wingdings" w:hAnsi="MS Gothic"/>
      <w:b/>
      <w:bCs/>
      <w:kern w:val="32"/>
      <w:sz w:val="32"/>
      <w:szCs w:val="32"/>
      <w:lang w:val="x-none" w:eastAsia="x-none"/>
    </w:rPr>
  </w:style>
  <w:style w:type="paragraph" w:styleId="Heading2">
    <w:name w:val="heading 2"/>
    <w:basedOn w:val="Normal"/>
    <w:next w:val="Normal"/>
    <w:link w:val="Heading2Char"/>
    <w:semiHidden/>
    <w:unhideWhenUsed/>
    <w:qFormat/>
    <w:rsid w:val="00897631"/>
    <w:pPr>
      <w:keepNext/>
      <w:spacing w:before="120"/>
      <w:outlineLvl w:val="1"/>
    </w:pPr>
    <w:rPr>
      <w:rFonts w:ascii="VNHelvet" w:eastAsia="Wingdings" w:hAnsi="VNHelvet"/>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506FAB"/>
    <w:pPr>
      <w:ind w:left="720"/>
      <w:contextualSpacing/>
    </w:pPr>
  </w:style>
  <w:style w:type="table" w:styleId="TableGrid">
    <w:name w:val="Table Grid"/>
    <w:basedOn w:val="TableNormal"/>
    <w:uiPriority w:val="59"/>
    <w:rsid w:val="00506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06FAB"/>
    <w:pPr>
      <w:tabs>
        <w:tab w:val="center" w:pos="4320"/>
        <w:tab w:val="right" w:pos="8640"/>
      </w:tabs>
    </w:pPr>
    <w:rPr>
      <w:sz w:val="20"/>
      <w:szCs w:val="20"/>
    </w:rPr>
  </w:style>
  <w:style w:type="character" w:customStyle="1" w:styleId="FooterChar">
    <w:name w:val="Footer Char"/>
    <w:basedOn w:val="DefaultParagraphFont"/>
    <w:link w:val="Footer"/>
    <w:uiPriority w:val="99"/>
    <w:rsid w:val="00506FAB"/>
    <w:rPr>
      <w:rFonts w:ascii="Times New Roman" w:eastAsia="Times New Roman" w:hAnsi="Times New Roman" w:cs="Times New Roman"/>
      <w:sz w:val="20"/>
      <w:szCs w:val="20"/>
    </w:rPr>
  </w:style>
  <w:style w:type="paragraph" w:styleId="BodyText">
    <w:name w:val="Body Text"/>
    <w:basedOn w:val="Normal"/>
    <w:link w:val="BodyTextChar"/>
    <w:uiPriority w:val="1"/>
    <w:unhideWhenUsed/>
    <w:qFormat/>
    <w:rsid w:val="00506FAB"/>
    <w:pPr>
      <w:widowControl w:val="0"/>
      <w:autoSpaceDE w:val="0"/>
      <w:autoSpaceDN w:val="0"/>
      <w:spacing w:before="120"/>
      <w:ind w:left="261"/>
    </w:pPr>
    <w:rPr>
      <w:sz w:val="28"/>
      <w:szCs w:val="28"/>
    </w:rPr>
  </w:style>
  <w:style w:type="character" w:customStyle="1" w:styleId="BodyTextChar">
    <w:name w:val="Body Text Char"/>
    <w:basedOn w:val="DefaultParagraphFont"/>
    <w:link w:val="BodyText"/>
    <w:uiPriority w:val="1"/>
    <w:rsid w:val="00506FAB"/>
    <w:rPr>
      <w:rFonts w:ascii="Times New Roman" w:eastAsia="Times New Roman" w:hAnsi="Times New Roman" w:cs="Times New Roman"/>
      <w:sz w:val="28"/>
      <w:szCs w:val="28"/>
    </w:rPr>
  </w:style>
  <w:style w:type="character" w:styleId="Hyperlink">
    <w:name w:val="Hyperlink"/>
    <w:uiPriority w:val="99"/>
    <w:semiHidden/>
    <w:unhideWhenUsed/>
    <w:rsid w:val="00506FAB"/>
    <w:rPr>
      <w:color w:val="0000FF"/>
      <w:u w:val="single"/>
    </w:rPr>
  </w:style>
  <w:style w:type="paragraph" w:styleId="Header">
    <w:name w:val="header"/>
    <w:basedOn w:val="Normal"/>
    <w:link w:val="HeaderChar"/>
    <w:uiPriority w:val="99"/>
    <w:unhideWhenUsed/>
    <w:rsid w:val="00FC10EE"/>
    <w:pPr>
      <w:tabs>
        <w:tab w:val="center" w:pos="4680"/>
        <w:tab w:val="right" w:pos="9360"/>
      </w:tabs>
    </w:pPr>
  </w:style>
  <w:style w:type="character" w:customStyle="1" w:styleId="HeaderChar">
    <w:name w:val="Header Char"/>
    <w:basedOn w:val="DefaultParagraphFont"/>
    <w:link w:val="Header"/>
    <w:uiPriority w:val="99"/>
    <w:rsid w:val="00FC10E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AF7E1C"/>
    <w:pPr>
      <w:widowControl w:val="0"/>
      <w:autoSpaceDE w:val="0"/>
      <w:autoSpaceDN w:val="0"/>
    </w:pPr>
    <w:rPr>
      <w:sz w:val="22"/>
      <w:szCs w:val="22"/>
    </w:rPr>
  </w:style>
  <w:style w:type="character" w:customStyle="1" w:styleId="link">
    <w:name w:val="link"/>
    <w:basedOn w:val="DefaultParagraphFont"/>
    <w:rsid w:val="00F912F9"/>
  </w:style>
  <w:style w:type="paragraph" w:styleId="BalloonText">
    <w:name w:val="Balloon Text"/>
    <w:basedOn w:val="Normal"/>
    <w:link w:val="BalloonTextChar"/>
    <w:uiPriority w:val="99"/>
    <w:semiHidden/>
    <w:unhideWhenUsed/>
    <w:rsid w:val="009F2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3CF"/>
    <w:rPr>
      <w:rFonts w:ascii="Segoe UI" w:eastAsia="Times New Roman" w:hAnsi="Segoe UI" w:cs="Segoe UI"/>
      <w:sz w:val="18"/>
      <w:szCs w:val="18"/>
    </w:rPr>
  </w:style>
  <w:style w:type="paragraph" w:customStyle="1" w:styleId="vn4">
    <w:name w:val="vn_4"/>
    <w:basedOn w:val="Normal"/>
    <w:uiPriority w:val="99"/>
    <w:rsid w:val="00BF3F4E"/>
    <w:pPr>
      <w:spacing w:before="100" w:beforeAutospacing="1" w:after="100" w:afterAutospacing="1"/>
    </w:pPr>
  </w:style>
  <w:style w:type="character" w:styleId="CommentReference">
    <w:name w:val="annotation reference"/>
    <w:basedOn w:val="DefaultParagraphFont"/>
    <w:uiPriority w:val="99"/>
    <w:semiHidden/>
    <w:unhideWhenUsed/>
    <w:rsid w:val="00BF52A9"/>
    <w:rPr>
      <w:sz w:val="16"/>
      <w:szCs w:val="16"/>
    </w:rPr>
  </w:style>
  <w:style w:type="paragraph" w:styleId="CommentText">
    <w:name w:val="annotation text"/>
    <w:basedOn w:val="Normal"/>
    <w:link w:val="CommentTextChar"/>
    <w:uiPriority w:val="99"/>
    <w:semiHidden/>
    <w:unhideWhenUsed/>
    <w:rsid w:val="00BF52A9"/>
    <w:rPr>
      <w:sz w:val="20"/>
      <w:szCs w:val="20"/>
    </w:rPr>
  </w:style>
  <w:style w:type="character" w:customStyle="1" w:styleId="CommentTextChar">
    <w:name w:val="Comment Text Char"/>
    <w:basedOn w:val="DefaultParagraphFont"/>
    <w:link w:val="CommentText"/>
    <w:uiPriority w:val="99"/>
    <w:semiHidden/>
    <w:rsid w:val="00BF52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52A9"/>
    <w:rPr>
      <w:b/>
      <w:bCs/>
    </w:rPr>
  </w:style>
  <w:style w:type="character" w:customStyle="1" w:styleId="CommentSubjectChar">
    <w:name w:val="Comment Subject Char"/>
    <w:basedOn w:val="CommentTextChar"/>
    <w:link w:val="CommentSubject"/>
    <w:uiPriority w:val="99"/>
    <w:semiHidden/>
    <w:rsid w:val="00BF52A9"/>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rsid w:val="00BF52A9"/>
    <w:rPr>
      <w:rFonts w:ascii="MS Gothic" w:eastAsia="Wingdings" w:hAnsi="MS Gothic" w:cs="Times New Roman"/>
      <w:b/>
      <w:bCs/>
      <w:kern w:val="32"/>
      <w:sz w:val="32"/>
      <w:szCs w:val="32"/>
      <w:lang w:val="x-none" w:eastAsia="x-none"/>
    </w:rPr>
  </w:style>
  <w:style w:type="character" w:customStyle="1" w:styleId="Heading2Char">
    <w:name w:val="Heading 2 Char"/>
    <w:basedOn w:val="DefaultParagraphFont"/>
    <w:link w:val="Heading2"/>
    <w:semiHidden/>
    <w:rsid w:val="00897631"/>
    <w:rPr>
      <w:rFonts w:ascii="VNHelvet" w:eastAsia="Wingdings" w:hAnsi="VNHelvet" w:cs="Times New Roman"/>
      <w:sz w:val="28"/>
      <w:szCs w:val="20"/>
      <w:lang w:val="x-none" w:eastAsia="x-none"/>
    </w:rPr>
  </w:style>
  <w:style w:type="paragraph" w:styleId="TOC2">
    <w:name w:val="toc 2"/>
    <w:basedOn w:val="Normal"/>
    <w:next w:val="Normal"/>
    <w:autoRedefine/>
    <w:uiPriority w:val="99"/>
    <w:semiHidden/>
    <w:unhideWhenUsed/>
    <w:rsid w:val="00897631"/>
    <w:pPr>
      <w:tabs>
        <w:tab w:val="right" w:leader="dot" w:pos="9062"/>
      </w:tabs>
      <w:spacing w:before="120" w:after="120"/>
      <w:ind w:left="935" w:hanging="651"/>
      <w:jc w:val="both"/>
    </w:pPr>
    <w:rPr>
      <w:rFonts w:ascii="Wingdings" w:eastAsia="Wingdings" w:hAnsi="Wingdings" w:cs="Wingdings"/>
      <w:noProof/>
      <w:color w:val="993366"/>
      <w:sz w:val="18"/>
      <w:szCs w:val="18"/>
    </w:rPr>
  </w:style>
  <w:style w:type="character" w:customStyle="1" w:styleId="fontstyle01">
    <w:name w:val="fontstyle01"/>
    <w:basedOn w:val="DefaultParagraphFont"/>
    <w:rsid w:val="00B973D9"/>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7974">
      <w:bodyDiv w:val="1"/>
      <w:marLeft w:val="0"/>
      <w:marRight w:val="0"/>
      <w:marTop w:val="0"/>
      <w:marBottom w:val="0"/>
      <w:divBdr>
        <w:top w:val="none" w:sz="0" w:space="0" w:color="auto"/>
        <w:left w:val="none" w:sz="0" w:space="0" w:color="auto"/>
        <w:bottom w:val="none" w:sz="0" w:space="0" w:color="auto"/>
        <w:right w:val="none" w:sz="0" w:space="0" w:color="auto"/>
      </w:divBdr>
    </w:div>
    <w:div w:id="59645656">
      <w:bodyDiv w:val="1"/>
      <w:marLeft w:val="0"/>
      <w:marRight w:val="0"/>
      <w:marTop w:val="0"/>
      <w:marBottom w:val="0"/>
      <w:divBdr>
        <w:top w:val="none" w:sz="0" w:space="0" w:color="auto"/>
        <w:left w:val="none" w:sz="0" w:space="0" w:color="auto"/>
        <w:bottom w:val="none" w:sz="0" w:space="0" w:color="auto"/>
        <w:right w:val="none" w:sz="0" w:space="0" w:color="auto"/>
      </w:divBdr>
    </w:div>
    <w:div w:id="240717861">
      <w:bodyDiv w:val="1"/>
      <w:marLeft w:val="0"/>
      <w:marRight w:val="0"/>
      <w:marTop w:val="0"/>
      <w:marBottom w:val="0"/>
      <w:divBdr>
        <w:top w:val="none" w:sz="0" w:space="0" w:color="auto"/>
        <w:left w:val="none" w:sz="0" w:space="0" w:color="auto"/>
        <w:bottom w:val="none" w:sz="0" w:space="0" w:color="auto"/>
        <w:right w:val="none" w:sz="0" w:space="0" w:color="auto"/>
      </w:divBdr>
    </w:div>
    <w:div w:id="369888565">
      <w:bodyDiv w:val="1"/>
      <w:marLeft w:val="0"/>
      <w:marRight w:val="0"/>
      <w:marTop w:val="0"/>
      <w:marBottom w:val="0"/>
      <w:divBdr>
        <w:top w:val="none" w:sz="0" w:space="0" w:color="auto"/>
        <w:left w:val="none" w:sz="0" w:space="0" w:color="auto"/>
        <w:bottom w:val="none" w:sz="0" w:space="0" w:color="auto"/>
        <w:right w:val="none" w:sz="0" w:space="0" w:color="auto"/>
      </w:divBdr>
    </w:div>
    <w:div w:id="374740221">
      <w:bodyDiv w:val="1"/>
      <w:marLeft w:val="0"/>
      <w:marRight w:val="0"/>
      <w:marTop w:val="0"/>
      <w:marBottom w:val="0"/>
      <w:divBdr>
        <w:top w:val="none" w:sz="0" w:space="0" w:color="auto"/>
        <w:left w:val="none" w:sz="0" w:space="0" w:color="auto"/>
        <w:bottom w:val="none" w:sz="0" w:space="0" w:color="auto"/>
        <w:right w:val="none" w:sz="0" w:space="0" w:color="auto"/>
      </w:divBdr>
    </w:div>
    <w:div w:id="652804399">
      <w:bodyDiv w:val="1"/>
      <w:marLeft w:val="0"/>
      <w:marRight w:val="0"/>
      <w:marTop w:val="0"/>
      <w:marBottom w:val="0"/>
      <w:divBdr>
        <w:top w:val="none" w:sz="0" w:space="0" w:color="auto"/>
        <w:left w:val="none" w:sz="0" w:space="0" w:color="auto"/>
        <w:bottom w:val="none" w:sz="0" w:space="0" w:color="auto"/>
        <w:right w:val="none" w:sz="0" w:space="0" w:color="auto"/>
      </w:divBdr>
    </w:div>
    <w:div w:id="772436395">
      <w:bodyDiv w:val="1"/>
      <w:marLeft w:val="0"/>
      <w:marRight w:val="0"/>
      <w:marTop w:val="0"/>
      <w:marBottom w:val="0"/>
      <w:divBdr>
        <w:top w:val="none" w:sz="0" w:space="0" w:color="auto"/>
        <w:left w:val="none" w:sz="0" w:space="0" w:color="auto"/>
        <w:bottom w:val="none" w:sz="0" w:space="0" w:color="auto"/>
        <w:right w:val="none" w:sz="0" w:space="0" w:color="auto"/>
      </w:divBdr>
    </w:div>
    <w:div w:id="820385223">
      <w:bodyDiv w:val="1"/>
      <w:marLeft w:val="0"/>
      <w:marRight w:val="0"/>
      <w:marTop w:val="0"/>
      <w:marBottom w:val="0"/>
      <w:divBdr>
        <w:top w:val="none" w:sz="0" w:space="0" w:color="auto"/>
        <w:left w:val="none" w:sz="0" w:space="0" w:color="auto"/>
        <w:bottom w:val="none" w:sz="0" w:space="0" w:color="auto"/>
        <w:right w:val="none" w:sz="0" w:space="0" w:color="auto"/>
      </w:divBdr>
    </w:div>
    <w:div w:id="883492604">
      <w:bodyDiv w:val="1"/>
      <w:marLeft w:val="0"/>
      <w:marRight w:val="0"/>
      <w:marTop w:val="0"/>
      <w:marBottom w:val="0"/>
      <w:divBdr>
        <w:top w:val="none" w:sz="0" w:space="0" w:color="auto"/>
        <w:left w:val="none" w:sz="0" w:space="0" w:color="auto"/>
        <w:bottom w:val="none" w:sz="0" w:space="0" w:color="auto"/>
        <w:right w:val="none" w:sz="0" w:space="0" w:color="auto"/>
      </w:divBdr>
    </w:div>
    <w:div w:id="932006161">
      <w:bodyDiv w:val="1"/>
      <w:marLeft w:val="0"/>
      <w:marRight w:val="0"/>
      <w:marTop w:val="0"/>
      <w:marBottom w:val="0"/>
      <w:divBdr>
        <w:top w:val="none" w:sz="0" w:space="0" w:color="auto"/>
        <w:left w:val="none" w:sz="0" w:space="0" w:color="auto"/>
        <w:bottom w:val="none" w:sz="0" w:space="0" w:color="auto"/>
        <w:right w:val="none" w:sz="0" w:space="0" w:color="auto"/>
      </w:divBdr>
    </w:div>
    <w:div w:id="982003057">
      <w:bodyDiv w:val="1"/>
      <w:marLeft w:val="0"/>
      <w:marRight w:val="0"/>
      <w:marTop w:val="0"/>
      <w:marBottom w:val="0"/>
      <w:divBdr>
        <w:top w:val="none" w:sz="0" w:space="0" w:color="auto"/>
        <w:left w:val="none" w:sz="0" w:space="0" w:color="auto"/>
        <w:bottom w:val="none" w:sz="0" w:space="0" w:color="auto"/>
        <w:right w:val="none" w:sz="0" w:space="0" w:color="auto"/>
      </w:divBdr>
    </w:div>
    <w:div w:id="1023871116">
      <w:bodyDiv w:val="1"/>
      <w:marLeft w:val="0"/>
      <w:marRight w:val="0"/>
      <w:marTop w:val="0"/>
      <w:marBottom w:val="0"/>
      <w:divBdr>
        <w:top w:val="none" w:sz="0" w:space="0" w:color="auto"/>
        <w:left w:val="none" w:sz="0" w:space="0" w:color="auto"/>
        <w:bottom w:val="none" w:sz="0" w:space="0" w:color="auto"/>
        <w:right w:val="none" w:sz="0" w:space="0" w:color="auto"/>
      </w:divBdr>
    </w:div>
    <w:div w:id="1113671739">
      <w:bodyDiv w:val="1"/>
      <w:marLeft w:val="0"/>
      <w:marRight w:val="0"/>
      <w:marTop w:val="0"/>
      <w:marBottom w:val="0"/>
      <w:divBdr>
        <w:top w:val="none" w:sz="0" w:space="0" w:color="auto"/>
        <w:left w:val="none" w:sz="0" w:space="0" w:color="auto"/>
        <w:bottom w:val="none" w:sz="0" w:space="0" w:color="auto"/>
        <w:right w:val="none" w:sz="0" w:space="0" w:color="auto"/>
      </w:divBdr>
    </w:div>
    <w:div w:id="1717008047">
      <w:bodyDiv w:val="1"/>
      <w:marLeft w:val="0"/>
      <w:marRight w:val="0"/>
      <w:marTop w:val="0"/>
      <w:marBottom w:val="0"/>
      <w:divBdr>
        <w:top w:val="none" w:sz="0" w:space="0" w:color="auto"/>
        <w:left w:val="none" w:sz="0" w:space="0" w:color="auto"/>
        <w:bottom w:val="none" w:sz="0" w:space="0" w:color="auto"/>
        <w:right w:val="none" w:sz="0" w:space="0" w:color="auto"/>
      </w:divBdr>
    </w:div>
    <w:div w:id="1745565466">
      <w:bodyDiv w:val="1"/>
      <w:marLeft w:val="0"/>
      <w:marRight w:val="0"/>
      <w:marTop w:val="0"/>
      <w:marBottom w:val="0"/>
      <w:divBdr>
        <w:top w:val="none" w:sz="0" w:space="0" w:color="auto"/>
        <w:left w:val="none" w:sz="0" w:space="0" w:color="auto"/>
        <w:bottom w:val="none" w:sz="0" w:space="0" w:color="auto"/>
        <w:right w:val="none" w:sz="0" w:space="0" w:color="auto"/>
      </w:divBdr>
    </w:div>
    <w:div w:id="1773235701">
      <w:bodyDiv w:val="1"/>
      <w:marLeft w:val="0"/>
      <w:marRight w:val="0"/>
      <w:marTop w:val="0"/>
      <w:marBottom w:val="0"/>
      <w:divBdr>
        <w:top w:val="none" w:sz="0" w:space="0" w:color="auto"/>
        <w:left w:val="none" w:sz="0" w:space="0" w:color="auto"/>
        <w:bottom w:val="none" w:sz="0" w:space="0" w:color="auto"/>
        <w:right w:val="none" w:sz="0" w:space="0" w:color="auto"/>
      </w:divBdr>
    </w:div>
    <w:div w:id="1863516560">
      <w:bodyDiv w:val="1"/>
      <w:marLeft w:val="0"/>
      <w:marRight w:val="0"/>
      <w:marTop w:val="0"/>
      <w:marBottom w:val="0"/>
      <w:divBdr>
        <w:top w:val="none" w:sz="0" w:space="0" w:color="auto"/>
        <w:left w:val="none" w:sz="0" w:space="0" w:color="auto"/>
        <w:bottom w:val="none" w:sz="0" w:space="0" w:color="auto"/>
        <w:right w:val="none" w:sz="0" w:space="0" w:color="auto"/>
      </w:divBdr>
    </w:div>
    <w:div w:id="1951887943">
      <w:bodyDiv w:val="1"/>
      <w:marLeft w:val="0"/>
      <w:marRight w:val="0"/>
      <w:marTop w:val="0"/>
      <w:marBottom w:val="0"/>
      <w:divBdr>
        <w:top w:val="none" w:sz="0" w:space="0" w:color="auto"/>
        <w:left w:val="none" w:sz="0" w:space="0" w:color="auto"/>
        <w:bottom w:val="none" w:sz="0" w:space="0" w:color="auto"/>
        <w:right w:val="none" w:sz="0" w:space="0" w:color="auto"/>
      </w:divBdr>
    </w:div>
    <w:div w:id="1983382315">
      <w:bodyDiv w:val="1"/>
      <w:marLeft w:val="0"/>
      <w:marRight w:val="0"/>
      <w:marTop w:val="0"/>
      <w:marBottom w:val="0"/>
      <w:divBdr>
        <w:top w:val="none" w:sz="0" w:space="0" w:color="auto"/>
        <w:left w:val="none" w:sz="0" w:space="0" w:color="auto"/>
        <w:bottom w:val="none" w:sz="0" w:space="0" w:color="auto"/>
        <w:right w:val="none" w:sz="0" w:space="0" w:color="auto"/>
      </w:divBdr>
    </w:div>
    <w:div w:id="2007048089">
      <w:bodyDiv w:val="1"/>
      <w:marLeft w:val="0"/>
      <w:marRight w:val="0"/>
      <w:marTop w:val="0"/>
      <w:marBottom w:val="0"/>
      <w:divBdr>
        <w:top w:val="none" w:sz="0" w:space="0" w:color="auto"/>
        <w:left w:val="none" w:sz="0" w:space="0" w:color="auto"/>
        <w:bottom w:val="none" w:sz="0" w:space="0" w:color="auto"/>
        <w:right w:val="none" w:sz="0" w:space="0" w:color="auto"/>
      </w:divBdr>
    </w:div>
    <w:div w:id="2086409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5B156-D4DB-4793-925A-C636D3E64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1878</Words>
  <Characters>10710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FPT</dc:creator>
  <cp:keywords/>
  <dc:description/>
  <cp:lastModifiedBy>Admin</cp:lastModifiedBy>
  <cp:revision>13</cp:revision>
  <cp:lastPrinted>2024-12-13T01:18:00Z</cp:lastPrinted>
  <dcterms:created xsi:type="dcterms:W3CDTF">2025-01-03T07:08:00Z</dcterms:created>
  <dcterms:modified xsi:type="dcterms:W3CDTF">2025-01-03T09:43:00Z</dcterms:modified>
</cp:coreProperties>
</file>