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E76FB1">
              <w:rPr>
                <w:i/>
                <w:sz w:val="26"/>
                <w:szCs w:val="28"/>
              </w:rPr>
              <w:t>21</w:t>
            </w:r>
            <w:r w:rsidR="00901FA5">
              <w:rPr>
                <w:i/>
                <w:sz w:val="26"/>
                <w:szCs w:val="28"/>
              </w:rPr>
              <w:t xml:space="preserve">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E76FB1">
              <w:rPr>
                <w:i/>
                <w:sz w:val="26"/>
                <w:szCs w:val="28"/>
              </w:rPr>
              <w:t xml:space="preserve"> 8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-227150</wp:posOffset>
                </wp:positionH>
                <wp:positionV relativeFrom="paragraph">
                  <wp:posOffset>43862</wp:posOffset>
                </wp:positionV>
                <wp:extent cx="2459156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156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04345D">
                              <w:t>12</w:t>
                            </w:r>
                            <w:r w:rsidR="00E270EC">
                              <w:t xml:space="preserve">/2024/TT-BCT ngày </w:t>
                            </w:r>
                            <w:r w:rsidR="0004345D">
                              <w:t>01/8</w:t>
                            </w:r>
                            <w:r w:rsidR="00E270EC">
                              <w:t xml:space="preserve">/2024  </w:t>
                            </w:r>
                            <w:r>
                              <w:t xml:space="preserve">của </w:t>
                            </w:r>
                            <w:r w:rsidR="008B50B6">
                              <w:t>Bộ Công Thương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9pt;margin-top:3.45pt;width:193.6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F3gwIAAA8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ygP1emNqyDowUCYH2A5RIZMnbnX9ItDSt+2RO34tbW6bzlhwC4LJ5PJ0RHHBZBt&#10;/14zuIbsvY5AQ2O7AAjFQIAOKj2dlQlUKCzmxbzM5guMKOytimVaRukSUp1OG+v8W647FAY1tqB8&#10;RCeHe+cDG1KdQiJ7LQXbCCnjxO62t9KiAwGXbOITE4Akp2FShWClw7ERcVwBknBH2At0o+rfyywv&#10;0pu8nG0Wq+Ws2BTzWblMV7M0K2/KRVqUxd3mORDMiqoVjHF1LxQ/OTAr/k7hYy+M3okeRH2Ny3k+&#10;HyWasnfTJNP4/CnJTnhoSCk6qPM5iFRB2DeKQdqk8kTIcZz8TD9WGWpw+saqRBsE5UcP+GE7AErw&#10;xlazJzCE1aAXqA5/ERi02n7DqIeOrLH7uieWYyTfKTBVmRVFaOE4KebLHCZ2urOd7hBFAarGHqNx&#10;eOvHtt8bK3Yt3DTaWOlrMGIjokdeWB3tC10Xkzn+IUJbT+cx6uU/tv4BAAD//wMAUEsDBBQABgAI&#10;AAAAIQBAtRhS3gAAAAkBAAAPAAAAZHJzL2Rvd25yZXYueG1sTI9BT4NAFITvJv6HzTPxYtqlUqhF&#10;lkZNNF5b+wMe8ApE9i1ht4X+e58nPU5mMvNNvpttry40+s6xgdUyAkVcubrjxsDx633xBMoH5Bp7&#10;x2TgSh52xe1NjlntJt7T5RAaJSXsMzTQhjBkWvuqJYt+6QZi8U5utBhEjo2uR5yk3Pb6MYpSbbFj&#10;WWhxoLeWqu/D2Ro4fU4PyXYqP8Jxs1+nr9htSnc15v5ufnkGFWgOf2H4xRd0KISpdGeuveoNLOJE&#10;0IOBdAtK/DhZJaBKCa6jGHSR6/8Pih8AAAD//wMAUEsBAi0AFAAGAAgAAAAhALaDOJL+AAAA4QEA&#10;ABMAAAAAAAAAAAAAAAAAAAAAAFtDb250ZW50X1R5cGVzXS54bWxQSwECLQAUAAYACAAAACEAOP0h&#10;/9YAAACUAQAACwAAAAAAAAAAAAAAAAAvAQAAX3JlbHMvLnJlbHNQSwECLQAUAAYACAAAACEAflsx&#10;d4MCAAAPBQAADgAAAAAAAAAAAAAAAAAuAgAAZHJzL2Uyb0RvYy54bWxQSwECLQAUAAYACAAAACEA&#10;QLUYUt4AAAAJAQAADwAAAAAAAAAAAAAAAADdBAAAZHJzL2Rvd25yZXYueG1sUEsFBgAAAAAEAAQA&#10;8wAAAOg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04345D">
                        <w:t>12</w:t>
                      </w:r>
                      <w:r w:rsidR="00E270EC">
                        <w:t xml:space="preserve">/2024/TT-BCT ngày </w:t>
                      </w:r>
                      <w:r w:rsidR="0004345D">
                        <w:t>01/8</w:t>
                      </w:r>
                      <w:r w:rsidR="00E270EC">
                        <w:t xml:space="preserve">/2024  </w:t>
                      </w:r>
                      <w:r>
                        <w:t xml:space="preserve">của </w:t>
                      </w:r>
                      <w:r w:rsidR="008B50B6">
                        <w:t>Bộ Công Thương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4839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1A72">
        <w:rPr>
          <w:sz w:val="28"/>
          <w:szCs w:val="28"/>
        </w:rPr>
        <w:t>Công ty Điện lực Tây Ninh</w:t>
      </w:r>
      <w:r>
        <w:rPr>
          <w:sz w:val="28"/>
          <w:szCs w:val="28"/>
        </w:rPr>
        <w:t>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04345D">
        <w:rPr>
          <w:sz w:val="28"/>
          <w:szCs w:val="28"/>
        </w:rPr>
        <w:t>01/8</w:t>
      </w:r>
      <w:r w:rsidR="006207DC">
        <w:rPr>
          <w:sz w:val="28"/>
          <w:szCs w:val="28"/>
        </w:rPr>
        <w:t>/202</w:t>
      </w:r>
      <w:r w:rsidR="00B01A72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>Bộ Công Thương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04345D">
        <w:rPr>
          <w:sz w:val="28"/>
          <w:szCs w:val="28"/>
        </w:rPr>
        <w:t>12</w:t>
      </w:r>
      <w:r w:rsidR="00B01A72">
        <w:rPr>
          <w:sz w:val="28"/>
          <w:szCs w:val="28"/>
        </w:rPr>
        <w:t>/2024</w:t>
      </w:r>
      <w:r w:rsidR="008B50B6">
        <w:rPr>
          <w:sz w:val="28"/>
          <w:szCs w:val="28"/>
        </w:rPr>
        <w:t>/TT-BCT</w:t>
      </w:r>
      <w:r w:rsidR="00A52CFE">
        <w:rPr>
          <w:sz w:val="28"/>
          <w:szCs w:val="28"/>
        </w:rPr>
        <w:t xml:space="preserve"> về việc</w:t>
      </w:r>
      <w:r w:rsidR="0004345D">
        <w:rPr>
          <w:sz w:val="28"/>
          <w:szCs w:val="28"/>
        </w:rPr>
        <w:t xml:space="preserve"> </w:t>
      </w:r>
      <w:r w:rsidR="0004345D" w:rsidRPr="0004345D">
        <w:rPr>
          <w:sz w:val="28"/>
          <w:szCs w:val="28"/>
        </w:rPr>
        <w:t>sửa đổi, bổ sung một số Thông tư của Bộ trưởng Bộ Công Thương liên quan đến điều độ, vận hành hệ thống điện quốc gia và thị trường điện</w:t>
      </w:r>
      <w:r w:rsidR="008B50B6">
        <w:rPr>
          <w:sz w:val="28"/>
          <w:szCs w:val="28"/>
        </w:rPr>
        <w:t>.</w:t>
      </w:r>
    </w:p>
    <w:p w:rsidR="00E270EC" w:rsidRDefault="00E270EC" w:rsidP="00E270EC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04345D">
        <w:rPr>
          <w:sz w:val="28"/>
          <w:szCs w:val="28"/>
        </w:rPr>
        <w:t>12</w:t>
      </w:r>
      <w:r w:rsidR="00B01A72">
        <w:rPr>
          <w:sz w:val="28"/>
          <w:szCs w:val="28"/>
        </w:rPr>
        <w:t>/2024</w:t>
      </w:r>
      <w:r w:rsidR="00BC311D">
        <w:rPr>
          <w:sz w:val="28"/>
          <w:szCs w:val="28"/>
        </w:rPr>
        <w:t xml:space="preserve">/TT-BCT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04345D">
        <w:rPr>
          <w:sz w:val="28"/>
          <w:szCs w:val="28"/>
        </w:rPr>
        <w:t>12</w:t>
      </w:r>
      <w:r w:rsidR="00E270EC">
        <w:rPr>
          <w:sz w:val="28"/>
          <w:szCs w:val="28"/>
        </w:rPr>
        <w:t>/2024/TT-BCT</w:t>
      </w:r>
      <w:r w:rsidR="00E270EC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Công Thương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AA1D46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AA1D46">
              <w:rPr>
                <w:sz w:val="8"/>
                <w:szCs w:val="8"/>
              </w:rPr>
              <w:t>10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AA1D46">
              <w:rPr>
                <w:sz w:val="8"/>
                <w:szCs w:val="8"/>
              </w:rPr>
              <w:t>8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345D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8393F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1D46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A72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270EC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6FB1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7128822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26FA8-8EF9-4441-825D-0AAC442F0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2024-08-09T08:37:00Z</dcterms:created>
  <dcterms:modified xsi:type="dcterms:W3CDTF">2024-08-21T10:24:00Z</dcterms:modified>
</cp:coreProperties>
</file>