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A21682">
              <w:rPr>
                <w:i/>
                <w:sz w:val="26"/>
                <w:szCs w:val="26"/>
              </w:rPr>
              <w:t>27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273431">
              <w:rPr>
                <w:i/>
                <w:sz w:val="26"/>
                <w:szCs w:val="26"/>
              </w:rPr>
              <w:t>5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6FF" w:rsidRDefault="001E1FAF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2065B">
                              <w:rPr>
                                <w:sz w:val="22"/>
                                <w:szCs w:val="22"/>
                              </w:rPr>
                              <w:t>Thông tư</w:t>
                            </w:r>
                          </w:p>
                          <w:p w:rsidR="00DF16FF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số 28/2024/TT-BTC ngày 16/5/2024 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DF16FF" w:rsidRDefault="001E1FAF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82065B">
                        <w:rPr>
                          <w:sz w:val="22"/>
                          <w:szCs w:val="22"/>
                        </w:rPr>
                        <w:t>Thông tư</w:t>
                      </w:r>
                    </w:p>
                    <w:p w:rsidR="00DF16FF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số 28/2024/TT-BTC ngày 16/5/2024 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DF16FF">
        <w:t xml:space="preserve">Ngày 16/5/2024, Bộ Tài chính ban hành Thông tư số 28/2024/TT-BTC quy định về trình tự, thủ tục </w:t>
      </w:r>
      <w:r w:rsidR="00371019">
        <w:t>kiểm tra việc chấp hành pháp luật về giá, thẩm định giá</w:t>
      </w:r>
      <w:r w:rsidR="00B009E1">
        <w:t xml:space="preserve">. </w:t>
      </w:r>
    </w:p>
    <w:p w:rsidR="008F31D4" w:rsidRDefault="008F31D4" w:rsidP="008F31D4">
      <w:pPr>
        <w:spacing w:before="120" w:after="60"/>
        <w:ind w:firstLine="720"/>
        <w:jc w:val="both"/>
        <w:rPr>
          <w:color w:val="000000"/>
        </w:rPr>
      </w:pPr>
      <w:r w:rsidRPr="00521ABC">
        <w:t xml:space="preserve">Thực hiện chỉ đạo của đồng chí </w:t>
      </w:r>
      <w:r>
        <w:t>Dương Văn Thắng</w:t>
      </w:r>
      <w:r w:rsidRPr="00521ABC">
        <w:t xml:space="preserve"> – Phó Chủ tịch UBND tỉnh, Văn phòng UBND tỉnh truyền đạt như sau</w:t>
      </w:r>
      <w:r w:rsidRPr="00521ABC">
        <w:rPr>
          <w:color w:val="000000"/>
        </w:rPr>
        <w:t>:</w:t>
      </w:r>
    </w:p>
    <w:p w:rsidR="008F31D4" w:rsidRPr="001E1B59" w:rsidRDefault="008F31D4" w:rsidP="008F31D4">
      <w:pPr>
        <w:pStyle w:val="ListParagraph"/>
        <w:numPr>
          <w:ilvl w:val="0"/>
          <w:numId w:val="18"/>
        </w:numPr>
        <w:tabs>
          <w:tab w:val="left" w:pos="990"/>
        </w:tabs>
        <w:spacing w:before="120" w:after="60"/>
        <w:ind w:left="0" w:firstLine="720"/>
        <w:jc w:val="both"/>
        <w:rPr>
          <w:color w:val="000000"/>
        </w:rPr>
      </w:pPr>
      <w:r>
        <w:rPr>
          <w:color w:val="000000"/>
        </w:rPr>
        <w:t xml:space="preserve">Các </w:t>
      </w:r>
      <w:r w:rsidR="005A6EFB">
        <w:rPr>
          <w:color w:val="000000"/>
        </w:rPr>
        <w:t>Sở, ban, ngành tỉnh</w:t>
      </w:r>
      <w:r>
        <w:rPr>
          <w:color w:val="000000"/>
        </w:rPr>
        <w:t xml:space="preserve">, UBND các huyện, thị xã, thành phố thực hiện </w:t>
      </w:r>
      <w:r w:rsidR="00475AD3">
        <w:t xml:space="preserve">Thông tư số 28/2024/TT-BTC </w:t>
      </w:r>
      <w:r w:rsidR="00475AD3">
        <w:t xml:space="preserve">ngày </w:t>
      </w:r>
      <w:r w:rsidR="00BC5304">
        <w:t>16/5/2024</w:t>
      </w:r>
      <w:r w:rsidR="008117BC">
        <w:t xml:space="preserve"> của Bộ T</w:t>
      </w:r>
      <w:r>
        <w:t xml:space="preserve">ài chính theo quy định. </w:t>
      </w:r>
    </w:p>
    <w:p w:rsidR="00C0213E" w:rsidRPr="00521ABC" w:rsidRDefault="008F31D4" w:rsidP="008F31D4">
      <w:pPr>
        <w:spacing w:before="120" w:after="60"/>
        <w:ind w:firstLine="720"/>
        <w:jc w:val="both"/>
      </w:pPr>
      <w:r>
        <w:t>2. Đối với các nội dung thuộc thẩm quyền UBND tỉnh, giao Sở Tài chính chủ trì, tham mưu thực hiện.</w:t>
      </w:r>
      <w:r w:rsidR="0056715B">
        <w:t xml:space="preserve">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7147D9">
        <w:t>Thông tư số 28/2024/TT-BTC ngày 16/5/2024 của Bộ Tài chính</w:t>
      </w:r>
      <w:r w:rsidR="008F4E64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23497F">
              <w:rPr>
                <w:color w:val="0000FF"/>
                <w:sz w:val="14"/>
                <w:szCs w:val="10"/>
                <w:lang w:val="pl-PL"/>
              </w:rPr>
              <w:t>Trúc 91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F0" w:rsidRDefault="00503CF0" w:rsidP="00B36EDA">
      <w:r>
        <w:separator/>
      </w:r>
    </w:p>
  </w:endnote>
  <w:endnote w:type="continuationSeparator" w:id="0">
    <w:p w:rsidR="00503CF0" w:rsidRDefault="00503CF0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F0" w:rsidRDefault="00503CF0" w:rsidP="00B36EDA">
      <w:r>
        <w:separator/>
      </w:r>
    </w:p>
  </w:footnote>
  <w:footnote w:type="continuationSeparator" w:id="0">
    <w:p w:rsidR="00503CF0" w:rsidRDefault="00503CF0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703E"/>
    <w:rsid w:val="00377875"/>
    <w:rsid w:val="003801E5"/>
    <w:rsid w:val="00381178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10962"/>
    <w:rsid w:val="00413DC4"/>
    <w:rsid w:val="00416DA6"/>
    <w:rsid w:val="0042031B"/>
    <w:rsid w:val="00420388"/>
    <w:rsid w:val="00423EDE"/>
    <w:rsid w:val="00424540"/>
    <w:rsid w:val="004405A5"/>
    <w:rsid w:val="00443FD3"/>
    <w:rsid w:val="004447BA"/>
    <w:rsid w:val="00451AB4"/>
    <w:rsid w:val="004521D9"/>
    <w:rsid w:val="0045295C"/>
    <w:rsid w:val="00457E3D"/>
    <w:rsid w:val="00460172"/>
    <w:rsid w:val="0046571C"/>
    <w:rsid w:val="00466FD0"/>
    <w:rsid w:val="004672D9"/>
    <w:rsid w:val="00475AD3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1F76"/>
    <w:rsid w:val="005457AC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0E1B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E4653"/>
    <w:rsid w:val="00EF29BB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6E3BE2EF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4873A-BF82-49AA-BED6-628E5DB3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709</cp:revision>
  <cp:lastPrinted>2022-05-13T01:26:00Z</cp:lastPrinted>
  <dcterms:created xsi:type="dcterms:W3CDTF">2021-06-15T09:32:00Z</dcterms:created>
  <dcterms:modified xsi:type="dcterms:W3CDTF">2024-05-27T04:03:00Z</dcterms:modified>
</cp:coreProperties>
</file>